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718D" w14:textId="5FDD37DD" w:rsidR="00226284" w:rsidRPr="00A85861" w:rsidRDefault="00226284" w:rsidP="00226284">
      <w:pPr>
        <w:spacing w:after="100" w:afterAutospacing="1"/>
        <w:jc w:val="both"/>
        <w:rPr>
          <w:rFonts w:ascii="Arial" w:hAnsi="Arial" w:cs="Arial"/>
          <w:b/>
          <w:sz w:val="24"/>
          <w:szCs w:val="24"/>
          <w:u w:val="single"/>
        </w:rPr>
      </w:pPr>
      <w:bookmarkStart w:id="0" w:name="_Hlk120773718"/>
      <w:bookmarkEnd w:id="0"/>
      <w:r w:rsidRPr="00A85861">
        <w:rPr>
          <w:rFonts w:ascii="Arial" w:hAnsi="Arial" w:cs="Arial"/>
          <w:b/>
          <w:sz w:val="24"/>
          <w:szCs w:val="24"/>
          <w:u w:val="single"/>
        </w:rPr>
        <w:t xml:space="preserve">Poskytnutá informace GFŘ podle zákona o svobodném přístupu k informacím </w:t>
      </w:r>
      <w:r>
        <w:rPr>
          <w:rFonts w:ascii="Arial" w:hAnsi="Arial" w:cs="Arial"/>
          <w:b/>
          <w:sz w:val="24"/>
          <w:szCs w:val="24"/>
          <w:u w:val="single"/>
        </w:rPr>
        <w:t>9</w:t>
      </w:r>
      <w:r>
        <w:rPr>
          <w:rFonts w:ascii="Arial" w:hAnsi="Arial" w:cs="Arial"/>
          <w:b/>
          <w:sz w:val="24"/>
          <w:szCs w:val="24"/>
          <w:u w:val="single"/>
        </w:rPr>
        <w:t>4</w:t>
      </w:r>
      <w:r w:rsidRPr="00A85861">
        <w:rPr>
          <w:rFonts w:ascii="Arial" w:hAnsi="Arial" w:cs="Arial"/>
          <w:b/>
          <w:sz w:val="24"/>
          <w:szCs w:val="24"/>
          <w:u w:val="single"/>
        </w:rPr>
        <w:t>/2023</w:t>
      </w:r>
    </w:p>
    <w:p w14:paraId="4655EF09" w14:textId="77777777" w:rsidR="00226284" w:rsidRPr="00A85861" w:rsidRDefault="00226284" w:rsidP="00226284">
      <w:pPr>
        <w:jc w:val="both"/>
        <w:rPr>
          <w:rFonts w:ascii="Arial" w:hAnsi="Arial" w:cs="Arial"/>
          <w:b/>
          <w:u w:val="single"/>
        </w:rPr>
      </w:pPr>
      <w:r w:rsidRPr="00A85861">
        <w:rPr>
          <w:rFonts w:ascii="Arial" w:hAnsi="Arial" w:cs="Arial"/>
          <w:b/>
          <w:u w:val="single"/>
        </w:rPr>
        <w:t xml:space="preserve">Dotaz: </w:t>
      </w:r>
    </w:p>
    <w:p w14:paraId="69C00AAD" w14:textId="234E8226" w:rsidR="00226284" w:rsidRPr="00226284" w:rsidRDefault="00226284" w:rsidP="00226284">
      <w:pPr>
        <w:autoSpaceDE w:val="0"/>
        <w:autoSpaceDN w:val="0"/>
        <w:adjustRightInd w:val="0"/>
        <w:jc w:val="both"/>
        <w:rPr>
          <w:rFonts w:ascii="Arial" w:hAnsi="Arial" w:cs="Arial"/>
        </w:rPr>
      </w:pPr>
      <w:r w:rsidRPr="00226284">
        <w:rPr>
          <w:rFonts w:ascii="Arial" w:eastAsia="Calibri" w:hAnsi="Arial" w:cs="Arial"/>
          <w:color w:val="000000" w:themeColor="text1"/>
        </w:rPr>
        <w:t>Žádám o</w:t>
      </w:r>
      <w:r w:rsidRPr="00226284">
        <w:rPr>
          <w:rFonts w:ascii="Arial" w:eastAsia="Calibri" w:hAnsi="Arial" w:cs="Arial"/>
          <w:color w:val="000000" w:themeColor="text1"/>
        </w:rPr>
        <w:t xml:space="preserve"> následující:</w:t>
      </w:r>
    </w:p>
    <w:p w14:paraId="1DC68A68" w14:textId="77777777" w:rsidR="00226284" w:rsidRDefault="00226284" w:rsidP="00226284">
      <w:pPr>
        <w:autoSpaceDE w:val="0"/>
        <w:autoSpaceDN w:val="0"/>
        <w:adjustRightInd w:val="0"/>
        <w:spacing w:line="276" w:lineRule="auto"/>
        <w:jc w:val="both"/>
        <w:rPr>
          <w:rFonts w:ascii="Arial" w:hAnsi="Arial" w:cs="Arial"/>
        </w:rPr>
      </w:pPr>
      <w:r w:rsidRPr="00226284">
        <w:rPr>
          <w:rFonts w:ascii="Arial" w:hAnsi="Arial" w:cs="Arial"/>
        </w:rPr>
        <w:t>1. Existuje interní metodika, která určuje postup při vyžadování informací od subjektů</w:t>
      </w:r>
      <w:r>
        <w:rPr>
          <w:rFonts w:ascii="Arial" w:hAnsi="Arial" w:cs="Arial"/>
        </w:rPr>
        <w:t xml:space="preserve"> </w:t>
      </w:r>
      <w:r w:rsidRPr="00226284">
        <w:rPr>
          <w:rFonts w:ascii="Arial" w:hAnsi="Arial" w:cs="Arial"/>
        </w:rPr>
        <w:t>uvedených v § 57 (1) a) až d)? Pokud ano, tak jak je konstruována?</w:t>
      </w:r>
      <w:r>
        <w:rPr>
          <w:rFonts w:ascii="Arial" w:hAnsi="Arial" w:cs="Arial"/>
        </w:rPr>
        <w:t xml:space="preserve"> </w:t>
      </w:r>
    </w:p>
    <w:p w14:paraId="5CE4F63B" w14:textId="214F3F41" w:rsidR="00226284" w:rsidRDefault="00226284" w:rsidP="00226284">
      <w:pPr>
        <w:autoSpaceDE w:val="0"/>
        <w:autoSpaceDN w:val="0"/>
        <w:adjustRightInd w:val="0"/>
        <w:spacing w:line="276" w:lineRule="auto"/>
        <w:jc w:val="both"/>
        <w:rPr>
          <w:rFonts w:ascii="Arial" w:hAnsi="Arial" w:cs="Arial"/>
        </w:rPr>
      </w:pPr>
      <w:r w:rsidRPr="00226284">
        <w:rPr>
          <w:rFonts w:ascii="Arial" w:hAnsi="Arial" w:cs="Arial"/>
        </w:rPr>
        <w:t>2. Jak je vykládán § 57 (1) d)? Co se považuje za zpracovávání jiných údajů nezbytných</w:t>
      </w:r>
      <w:r>
        <w:rPr>
          <w:rFonts w:ascii="Arial" w:hAnsi="Arial" w:cs="Arial"/>
        </w:rPr>
        <w:t xml:space="preserve"> </w:t>
      </w:r>
      <w:r w:rsidRPr="00226284">
        <w:rPr>
          <w:rFonts w:ascii="Arial" w:hAnsi="Arial" w:cs="Arial"/>
        </w:rPr>
        <w:t>pro</w:t>
      </w:r>
      <w:r>
        <w:rPr>
          <w:rFonts w:ascii="Arial" w:hAnsi="Arial" w:cs="Arial"/>
        </w:rPr>
        <w:t> </w:t>
      </w:r>
      <w:r w:rsidRPr="00226284">
        <w:rPr>
          <w:rFonts w:ascii="Arial" w:hAnsi="Arial" w:cs="Arial"/>
        </w:rPr>
        <w:t>správu daní?</w:t>
      </w:r>
      <w:r>
        <w:rPr>
          <w:rFonts w:ascii="Arial" w:hAnsi="Arial" w:cs="Arial"/>
        </w:rPr>
        <w:t xml:space="preserve"> </w:t>
      </w:r>
    </w:p>
    <w:p w14:paraId="26A902D8" w14:textId="77777777" w:rsidR="00226284" w:rsidRDefault="00226284" w:rsidP="00226284">
      <w:pPr>
        <w:autoSpaceDE w:val="0"/>
        <w:autoSpaceDN w:val="0"/>
        <w:adjustRightInd w:val="0"/>
        <w:spacing w:line="276" w:lineRule="auto"/>
        <w:jc w:val="both"/>
        <w:rPr>
          <w:rFonts w:ascii="Arial" w:hAnsi="Arial" w:cs="Arial"/>
        </w:rPr>
      </w:pPr>
      <w:r w:rsidRPr="00226284">
        <w:rPr>
          <w:rFonts w:ascii="Arial" w:hAnsi="Arial" w:cs="Arial"/>
        </w:rPr>
        <w:t>3. Jaké typy subjektů jsou nejčastěji dožadovány dle § 57 (1) (veřejné instituce,</w:t>
      </w:r>
      <w:r>
        <w:rPr>
          <w:rFonts w:ascii="Arial" w:hAnsi="Arial" w:cs="Arial"/>
        </w:rPr>
        <w:t xml:space="preserve"> </w:t>
      </w:r>
      <w:r w:rsidRPr="00226284">
        <w:rPr>
          <w:rFonts w:ascii="Arial" w:hAnsi="Arial" w:cs="Arial"/>
        </w:rPr>
        <w:t>soukromé společnosti, jednotlivci apod.)?</w:t>
      </w:r>
      <w:r>
        <w:rPr>
          <w:rFonts w:ascii="Arial" w:hAnsi="Arial" w:cs="Arial"/>
        </w:rPr>
        <w:t xml:space="preserve"> </w:t>
      </w:r>
    </w:p>
    <w:p w14:paraId="39FD25CC" w14:textId="75255512" w:rsidR="00226284" w:rsidRDefault="00226284" w:rsidP="00226284">
      <w:pPr>
        <w:autoSpaceDE w:val="0"/>
        <w:autoSpaceDN w:val="0"/>
        <w:adjustRightInd w:val="0"/>
        <w:spacing w:line="276" w:lineRule="auto"/>
        <w:jc w:val="both"/>
        <w:rPr>
          <w:rFonts w:ascii="Arial" w:hAnsi="Arial" w:cs="Arial"/>
        </w:rPr>
      </w:pPr>
      <w:r w:rsidRPr="00226284">
        <w:rPr>
          <w:rFonts w:ascii="Arial" w:hAnsi="Arial" w:cs="Arial"/>
        </w:rPr>
        <w:t>4. Kolik bylo provedeno dožádání o poskytnutí informací správci daně dle § 57 (1) a) až</w:t>
      </w:r>
      <w:r>
        <w:rPr>
          <w:rFonts w:ascii="Arial" w:hAnsi="Arial" w:cs="Arial"/>
        </w:rPr>
        <w:t xml:space="preserve"> </w:t>
      </w:r>
      <w:r w:rsidRPr="00226284">
        <w:rPr>
          <w:rFonts w:ascii="Arial" w:hAnsi="Arial" w:cs="Arial"/>
        </w:rPr>
        <w:t>d) za</w:t>
      </w:r>
      <w:r>
        <w:rPr>
          <w:rFonts w:ascii="Arial" w:hAnsi="Arial" w:cs="Arial"/>
        </w:rPr>
        <w:t> </w:t>
      </w:r>
      <w:r w:rsidRPr="00226284">
        <w:rPr>
          <w:rFonts w:ascii="Arial" w:hAnsi="Arial" w:cs="Arial"/>
        </w:rPr>
        <w:t>jednotlivé roky 2013 až 2023? Prosím o uvedení informace dle jednotlivých</w:t>
      </w:r>
      <w:r>
        <w:rPr>
          <w:rFonts w:ascii="Arial" w:hAnsi="Arial" w:cs="Arial"/>
        </w:rPr>
        <w:t xml:space="preserve"> </w:t>
      </w:r>
      <w:r w:rsidRPr="00226284">
        <w:rPr>
          <w:rFonts w:ascii="Arial" w:hAnsi="Arial" w:cs="Arial"/>
        </w:rPr>
        <w:t>písmen a let.</w:t>
      </w:r>
      <w:r>
        <w:rPr>
          <w:rFonts w:ascii="Arial" w:hAnsi="Arial" w:cs="Arial"/>
        </w:rPr>
        <w:t xml:space="preserve"> </w:t>
      </w:r>
    </w:p>
    <w:p w14:paraId="19FAE4CD" w14:textId="376B4804" w:rsidR="00226284" w:rsidRDefault="00226284" w:rsidP="00226284">
      <w:pPr>
        <w:autoSpaceDE w:val="0"/>
        <w:autoSpaceDN w:val="0"/>
        <w:adjustRightInd w:val="0"/>
        <w:spacing w:line="276" w:lineRule="auto"/>
        <w:jc w:val="both"/>
        <w:rPr>
          <w:rFonts w:ascii="Arial" w:hAnsi="Arial" w:cs="Arial"/>
        </w:rPr>
      </w:pPr>
      <w:r w:rsidRPr="00226284">
        <w:rPr>
          <w:rFonts w:ascii="Arial" w:hAnsi="Arial" w:cs="Arial"/>
        </w:rPr>
        <w:t>5. Kolik bylo provedeno dožádání o poskytnutí informací správci daně dle § 57 (2) až (6)</w:t>
      </w:r>
      <w:r>
        <w:rPr>
          <w:rFonts w:ascii="Arial" w:hAnsi="Arial" w:cs="Arial"/>
        </w:rPr>
        <w:t xml:space="preserve"> </w:t>
      </w:r>
      <w:r w:rsidRPr="00226284">
        <w:rPr>
          <w:rFonts w:ascii="Arial" w:hAnsi="Arial" w:cs="Arial"/>
        </w:rPr>
        <w:t>za</w:t>
      </w:r>
      <w:r>
        <w:rPr>
          <w:rFonts w:ascii="Arial" w:hAnsi="Arial" w:cs="Arial"/>
        </w:rPr>
        <w:t> </w:t>
      </w:r>
      <w:r w:rsidRPr="00226284">
        <w:rPr>
          <w:rFonts w:ascii="Arial" w:hAnsi="Arial" w:cs="Arial"/>
        </w:rPr>
        <w:t>jednotlivé roky 2013 až 2023? Prosím o uvedení informace dle jednotlivých</w:t>
      </w:r>
      <w:r>
        <w:rPr>
          <w:rFonts w:ascii="Arial" w:hAnsi="Arial" w:cs="Arial"/>
        </w:rPr>
        <w:t xml:space="preserve"> </w:t>
      </w:r>
      <w:r w:rsidRPr="00226284">
        <w:rPr>
          <w:rFonts w:ascii="Arial" w:hAnsi="Arial" w:cs="Arial"/>
        </w:rPr>
        <w:t>odstavců a let.</w:t>
      </w:r>
      <w:r>
        <w:rPr>
          <w:rFonts w:ascii="Arial" w:hAnsi="Arial" w:cs="Arial"/>
        </w:rPr>
        <w:t xml:space="preserve"> </w:t>
      </w:r>
    </w:p>
    <w:p w14:paraId="4AAE6B32" w14:textId="77777777" w:rsidR="00226284" w:rsidRDefault="00226284" w:rsidP="00226284">
      <w:pPr>
        <w:autoSpaceDE w:val="0"/>
        <w:autoSpaceDN w:val="0"/>
        <w:adjustRightInd w:val="0"/>
        <w:spacing w:line="276" w:lineRule="auto"/>
        <w:jc w:val="both"/>
        <w:rPr>
          <w:rFonts w:ascii="Arial" w:hAnsi="Arial" w:cs="Arial"/>
        </w:rPr>
      </w:pPr>
      <w:r w:rsidRPr="00226284">
        <w:rPr>
          <w:rFonts w:ascii="Arial" w:hAnsi="Arial" w:cs="Arial"/>
        </w:rPr>
        <w:t>6. Kolik dožádaných subjektů za roky 2013–2023 na výzvu nereagovalo, a tedy kolik</w:t>
      </w:r>
      <w:r>
        <w:rPr>
          <w:rFonts w:ascii="Arial" w:hAnsi="Arial" w:cs="Arial"/>
        </w:rPr>
        <w:t xml:space="preserve"> </w:t>
      </w:r>
      <w:r w:rsidRPr="00226284">
        <w:rPr>
          <w:rFonts w:ascii="Arial" w:hAnsi="Arial" w:cs="Arial"/>
        </w:rPr>
        <w:t>bylo uděleno pořádkových pokut, včetně opakovaných (ale prosím uvést separátně).</w:t>
      </w:r>
      <w:r>
        <w:rPr>
          <w:rFonts w:ascii="Arial" w:hAnsi="Arial" w:cs="Arial"/>
        </w:rPr>
        <w:t xml:space="preserve"> </w:t>
      </w:r>
      <w:r w:rsidRPr="00226284">
        <w:rPr>
          <w:rFonts w:ascii="Arial" w:hAnsi="Arial" w:cs="Arial"/>
        </w:rPr>
        <w:t>Prosím rozdělit informace dle jednotlivých odstavců § 57.</w:t>
      </w:r>
      <w:r>
        <w:rPr>
          <w:rFonts w:ascii="Arial" w:hAnsi="Arial" w:cs="Arial"/>
        </w:rPr>
        <w:t xml:space="preserve"> </w:t>
      </w:r>
    </w:p>
    <w:p w14:paraId="423FAACB" w14:textId="54AD2DEF" w:rsidR="00226284" w:rsidRDefault="00226284" w:rsidP="00226284">
      <w:pPr>
        <w:autoSpaceDE w:val="0"/>
        <w:autoSpaceDN w:val="0"/>
        <w:adjustRightInd w:val="0"/>
        <w:spacing w:line="276" w:lineRule="auto"/>
        <w:jc w:val="both"/>
        <w:rPr>
          <w:rFonts w:ascii="Arial" w:hAnsi="Arial" w:cs="Arial"/>
        </w:rPr>
      </w:pPr>
      <w:r w:rsidRPr="00226284">
        <w:rPr>
          <w:rFonts w:ascii="Arial" w:hAnsi="Arial" w:cs="Arial"/>
        </w:rPr>
        <w:t>7. Kolik dožádaných subjektů za roky 2013–2023 na výzvu odmítlo informace</w:t>
      </w:r>
      <w:r>
        <w:rPr>
          <w:rFonts w:ascii="Arial" w:hAnsi="Arial" w:cs="Arial"/>
        </w:rPr>
        <w:t xml:space="preserve"> </w:t>
      </w:r>
      <w:r w:rsidRPr="00226284">
        <w:rPr>
          <w:rFonts w:ascii="Arial" w:hAnsi="Arial" w:cs="Arial"/>
        </w:rPr>
        <w:t>poskytnout a u kolika byly důvody k odmítnutí uznány jako „dostatečná omluva“ dle</w:t>
      </w:r>
      <w:r>
        <w:rPr>
          <w:rFonts w:ascii="Arial" w:hAnsi="Arial" w:cs="Arial"/>
        </w:rPr>
        <w:t xml:space="preserve"> </w:t>
      </w:r>
      <w:r w:rsidRPr="00226284">
        <w:rPr>
          <w:rFonts w:ascii="Arial" w:hAnsi="Arial" w:cs="Arial"/>
        </w:rPr>
        <w:t>§ 247 (2)? Prosím rozdělit informace dle jednotlivých odstavců § 57.</w:t>
      </w:r>
      <w:r>
        <w:rPr>
          <w:rFonts w:ascii="Arial" w:hAnsi="Arial" w:cs="Arial"/>
        </w:rPr>
        <w:t xml:space="preserve"> </w:t>
      </w:r>
    </w:p>
    <w:p w14:paraId="4402BB12" w14:textId="32354FB5" w:rsidR="00226284" w:rsidRDefault="00226284" w:rsidP="00226284">
      <w:pPr>
        <w:autoSpaceDE w:val="0"/>
        <w:autoSpaceDN w:val="0"/>
        <w:adjustRightInd w:val="0"/>
        <w:spacing w:line="276" w:lineRule="auto"/>
        <w:jc w:val="both"/>
        <w:rPr>
          <w:rFonts w:ascii="Arial" w:hAnsi="Arial" w:cs="Arial"/>
        </w:rPr>
      </w:pPr>
      <w:r w:rsidRPr="00226284">
        <w:rPr>
          <w:rFonts w:ascii="Arial" w:hAnsi="Arial" w:cs="Arial"/>
        </w:rPr>
        <w:t>8. Kolik bylo podáno odvolání proti uděleným pořádkovým pokutám uděleným z</w:t>
      </w:r>
      <w:r>
        <w:rPr>
          <w:rFonts w:ascii="Arial" w:hAnsi="Arial" w:cs="Arial"/>
        </w:rPr>
        <w:t> </w:t>
      </w:r>
      <w:r w:rsidRPr="00226284">
        <w:rPr>
          <w:rFonts w:ascii="Arial" w:hAnsi="Arial" w:cs="Arial"/>
        </w:rPr>
        <w:t>důvodu</w:t>
      </w:r>
      <w:r>
        <w:rPr>
          <w:rFonts w:ascii="Arial" w:hAnsi="Arial" w:cs="Arial"/>
        </w:rPr>
        <w:t xml:space="preserve"> </w:t>
      </w:r>
      <w:r w:rsidRPr="00226284">
        <w:rPr>
          <w:rFonts w:ascii="Arial" w:hAnsi="Arial" w:cs="Arial"/>
        </w:rPr>
        <w:t>nevyhovění dožádání dle § 57. Kolik jich bylo úspěšných? Prosím rozdělit informace</w:t>
      </w:r>
      <w:r>
        <w:rPr>
          <w:rFonts w:ascii="Arial" w:hAnsi="Arial" w:cs="Arial"/>
        </w:rPr>
        <w:t xml:space="preserve"> </w:t>
      </w:r>
      <w:r w:rsidRPr="00226284">
        <w:rPr>
          <w:rFonts w:ascii="Arial" w:hAnsi="Arial" w:cs="Arial"/>
        </w:rPr>
        <w:t>dle jednotlivých odstavců § 57.</w:t>
      </w:r>
      <w:r>
        <w:rPr>
          <w:rFonts w:ascii="Arial" w:hAnsi="Arial" w:cs="Arial"/>
        </w:rPr>
        <w:t xml:space="preserve"> </w:t>
      </w:r>
    </w:p>
    <w:p w14:paraId="03C74031" w14:textId="201E2C14" w:rsidR="00226284" w:rsidRDefault="00226284" w:rsidP="00226284">
      <w:pPr>
        <w:autoSpaceDE w:val="0"/>
        <w:autoSpaceDN w:val="0"/>
        <w:adjustRightInd w:val="0"/>
        <w:spacing w:line="276" w:lineRule="auto"/>
        <w:jc w:val="both"/>
        <w:rPr>
          <w:rFonts w:ascii="Arial" w:hAnsi="Arial" w:cs="Arial"/>
          <w:b/>
          <w:u w:val="single"/>
        </w:rPr>
      </w:pPr>
      <w:r w:rsidRPr="00A85861">
        <w:rPr>
          <w:rFonts w:ascii="Arial" w:hAnsi="Arial" w:cs="Arial"/>
          <w:b/>
          <w:u w:val="single"/>
        </w:rPr>
        <w:t xml:space="preserve">Odpověď: </w:t>
      </w:r>
    </w:p>
    <w:p w14:paraId="39F279F4" w14:textId="77777777" w:rsidR="00226284" w:rsidRDefault="00226284" w:rsidP="00226284">
      <w:pPr>
        <w:autoSpaceDE w:val="0"/>
        <w:autoSpaceDN w:val="0"/>
        <w:adjustRightInd w:val="0"/>
        <w:spacing w:line="276" w:lineRule="auto"/>
        <w:jc w:val="both"/>
        <w:rPr>
          <w:rFonts w:ascii="ArialMT" w:hAnsi="ArialMT" w:cs="ArialMT"/>
          <w:color w:val="000000"/>
        </w:rPr>
      </w:pPr>
      <w:r>
        <w:rPr>
          <w:rFonts w:ascii="ArialMT" w:hAnsi="ArialMT" w:cs="ArialMT"/>
          <w:color w:val="000000"/>
        </w:rPr>
        <w:t xml:space="preserve">K bodu 1. </w:t>
      </w:r>
      <w:r>
        <w:rPr>
          <w:rFonts w:ascii="ArialMT" w:hAnsi="ArialMT" w:cs="ArialMT"/>
          <w:color w:val="000000"/>
        </w:rPr>
        <w:t xml:space="preserve"> </w:t>
      </w:r>
    </w:p>
    <w:p w14:paraId="408DB51C" w14:textId="28DB0081" w:rsidR="00226284" w:rsidRDefault="00226284" w:rsidP="00226284">
      <w:pPr>
        <w:autoSpaceDE w:val="0"/>
        <w:autoSpaceDN w:val="0"/>
        <w:adjustRightInd w:val="0"/>
        <w:spacing w:line="276" w:lineRule="auto"/>
        <w:jc w:val="both"/>
        <w:rPr>
          <w:rFonts w:ascii="ArialMT" w:hAnsi="ArialMT" w:cs="ArialMT"/>
          <w:color w:val="000000"/>
        </w:rPr>
      </w:pPr>
      <w:r>
        <w:rPr>
          <w:rFonts w:ascii="ArialMT" w:hAnsi="ArialMT" w:cs="ArialMT"/>
          <w:color w:val="000000"/>
        </w:rPr>
        <w:t>Poskytování informací správci daně dle § 57 odst. 1 daňového řádu je metodicky řešeno v</w:t>
      </w:r>
      <w:r>
        <w:rPr>
          <w:rFonts w:ascii="ArialMT" w:hAnsi="ArialMT" w:cs="ArialMT"/>
          <w:color w:val="000000"/>
        </w:rPr>
        <w:t> </w:t>
      </w:r>
      <w:r>
        <w:rPr>
          <w:rFonts w:ascii="ArialMT" w:hAnsi="ArialMT" w:cs="ArialMT"/>
          <w:color w:val="000000"/>
        </w:rPr>
        <w:t>„</w:t>
      </w:r>
      <w:r>
        <w:rPr>
          <w:rFonts w:ascii="Arial-ItalicMT" w:hAnsi="Arial-ItalicMT" w:cs="Arial-ItalicMT"/>
          <w:i/>
          <w:iCs/>
          <w:color w:val="000000"/>
        </w:rPr>
        <w:t>Metodickém pokynu k některým možnostem komunikace iniciované správcem daně s třetími osobami</w:t>
      </w:r>
      <w:r>
        <w:rPr>
          <w:rFonts w:ascii="ArialMT" w:hAnsi="ArialMT" w:cs="ArialMT"/>
          <w:color w:val="000000"/>
        </w:rPr>
        <w:t xml:space="preserve">“, ze dne 4. 9. 2019, č. j. 41780/19/7700-10123-050230. Tento metodický pokyn je veřejně dostupný na internetových stránkách Finanční správy ČR: </w:t>
      </w:r>
      <w:hyperlink r:id="rId4" w:history="1">
        <w:r w:rsidRPr="008F2797">
          <w:rPr>
            <w:rStyle w:val="Hypertextovodkaz"/>
            <w:rFonts w:ascii="Arial" w:hAnsi="Arial" w:cs="Arial"/>
          </w:rPr>
          <w:t>Metodika</w:t>
        </w:r>
        <w:r w:rsidRPr="008F2797">
          <w:rPr>
            <w:rStyle w:val="Hypertextovodkaz"/>
            <w:rFonts w:ascii="Arial" w:hAnsi="Arial" w:cs="Arial"/>
          </w:rPr>
          <w:t xml:space="preserve"> </w:t>
        </w:r>
        <w:r w:rsidRPr="008F2797">
          <w:rPr>
            <w:rStyle w:val="Hypertextovodkaz"/>
            <w:rFonts w:ascii="Arial" w:hAnsi="Arial" w:cs="Arial"/>
          </w:rPr>
          <w:t>| Metodika | Daňový proces | Daně | Finanční správa (financnisprava.cz)</w:t>
        </w:r>
      </w:hyperlink>
      <w:r>
        <w:rPr>
          <w:rFonts w:ascii="ArialMT" w:hAnsi="ArialMT" w:cs="ArialMT"/>
          <w:color w:val="000000"/>
        </w:rPr>
        <w:t>.</w:t>
      </w:r>
      <w:r w:rsidR="008F2797">
        <w:rPr>
          <w:rFonts w:ascii="ArialMT" w:hAnsi="ArialMT" w:cs="ArialMT"/>
          <w:color w:val="000000"/>
        </w:rPr>
        <w:t xml:space="preserve"> </w:t>
      </w:r>
    </w:p>
    <w:p w14:paraId="4D21C2D9" w14:textId="77777777" w:rsidR="008F2797" w:rsidRPr="008F2797" w:rsidRDefault="008F2797" w:rsidP="008F2797">
      <w:pPr>
        <w:autoSpaceDE w:val="0"/>
        <w:autoSpaceDN w:val="0"/>
        <w:adjustRightInd w:val="0"/>
        <w:spacing w:line="276" w:lineRule="auto"/>
        <w:jc w:val="both"/>
        <w:rPr>
          <w:rFonts w:ascii="Arial" w:hAnsi="Arial" w:cs="Arial"/>
        </w:rPr>
      </w:pPr>
      <w:r w:rsidRPr="008F2797">
        <w:rPr>
          <w:rFonts w:ascii="Arial" w:hAnsi="Arial" w:cs="Arial"/>
        </w:rPr>
        <w:t xml:space="preserve">K bodu 2. </w:t>
      </w:r>
    </w:p>
    <w:p w14:paraId="18593D1F" w14:textId="77777777" w:rsidR="008F2797" w:rsidRPr="008F2797" w:rsidRDefault="008F2797" w:rsidP="008F2797">
      <w:pPr>
        <w:autoSpaceDE w:val="0"/>
        <w:autoSpaceDN w:val="0"/>
        <w:adjustRightInd w:val="0"/>
        <w:spacing w:line="276" w:lineRule="auto"/>
        <w:jc w:val="both"/>
        <w:rPr>
          <w:rFonts w:ascii="Arial" w:hAnsi="Arial" w:cs="Arial"/>
        </w:rPr>
      </w:pPr>
      <w:r w:rsidRPr="008F2797">
        <w:rPr>
          <w:rFonts w:ascii="Arial" w:hAnsi="Arial" w:cs="Arial"/>
        </w:rPr>
        <w:t>Předně nutno vzpomenout, že zákonem č. 283/2020 Sb. bylo s účinností od 1. 1. 2021 znění § 57 odst. 1 písm. d) daňového řádu „</w:t>
      </w:r>
      <w:r w:rsidRPr="008F2797">
        <w:rPr>
          <w:rFonts w:ascii="Arial" w:hAnsi="Arial" w:cs="Arial"/>
          <w:b/>
          <w:bCs/>
          <w:i/>
          <w:iCs/>
        </w:rPr>
        <w:t xml:space="preserve">získávají </w:t>
      </w:r>
      <w:r w:rsidRPr="008F2797">
        <w:rPr>
          <w:rFonts w:ascii="Arial" w:hAnsi="Arial" w:cs="Arial"/>
          <w:i/>
          <w:iCs/>
        </w:rPr>
        <w:t>jiné údaje nezbytné pro správu daní</w:t>
      </w:r>
      <w:r w:rsidRPr="008F2797">
        <w:rPr>
          <w:rFonts w:ascii="Arial" w:hAnsi="Arial" w:cs="Arial"/>
        </w:rPr>
        <w:t>“</w:t>
      </w:r>
      <w:r w:rsidRPr="008F2797">
        <w:rPr>
          <w:rFonts w:ascii="Arial" w:hAnsi="Arial" w:cs="Arial"/>
        </w:rPr>
        <w:t xml:space="preserve"> </w:t>
      </w:r>
      <w:r w:rsidRPr="008F2797">
        <w:rPr>
          <w:rFonts w:ascii="Arial" w:hAnsi="Arial" w:cs="Arial"/>
        </w:rPr>
        <w:t>nahrazeno textem „</w:t>
      </w:r>
      <w:r w:rsidRPr="008F2797">
        <w:rPr>
          <w:rFonts w:ascii="Arial" w:hAnsi="Arial" w:cs="Arial"/>
          <w:b/>
          <w:bCs/>
          <w:i/>
          <w:iCs/>
        </w:rPr>
        <w:t xml:space="preserve">zpracovávají </w:t>
      </w:r>
      <w:r w:rsidRPr="008F2797">
        <w:rPr>
          <w:rFonts w:ascii="Arial" w:hAnsi="Arial" w:cs="Arial"/>
          <w:i/>
          <w:iCs/>
        </w:rPr>
        <w:t>jiné údaje nezbytné pro správu daní</w:t>
      </w:r>
      <w:r w:rsidRPr="008F2797">
        <w:rPr>
          <w:rFonts w:ascii="Arial" w:hAnsi="Arial" w:cs="Arial"/>
        </w:rPr>
        <w:t xml:space="preserve">“. </w:t>
      </w:r>
    </w:p>
    <w:p w14:paraId="06F91D54" w14:textId="77777777" w:rsidR="008F2797" w:rsidRPr="008F2797" w:rsidRDefault="008F2797" w:rsidP="008F2797">
      <w:pPr>
        <w:autoSpaceDE w:val="0"/>
        <w:autoSpaceDN w:val="0"/>
        <w:adjustRightInd w:val="0"/>
        <w:spacing w:line="276" w:lineRule="auto"/>
        <w:jc w:val="both"/>
        <w:rPr>
          <w:rFonts w:ascii="Arial" w:hAnsi="Arial" w:cs="Arial"/>
        </w:rPr>
      </w:pPr>
      <w:r w:rsidRPr="008F2797">
        <w:rPr>
          <w:rFonts w:ascii="Arial" w:hAnsi="Arial" w:cs="Arial"/>
        </w:rPr>
        <w:t>Výše uvedený metodický pokyn pracuje vzhledem k datu jeho vydání se zněním § 57 odst. 1 písm. d), ve znění účinném do 31. 12. 2020. Povinný subjekt (viz čl. IV. bod 2 tohoto pokynu.) za osoby získávající jiné údaje nezbytné pro správu daní považoval „</w:t>
      </w:r>
      <w:r w:rsidRPr="008F2797">
        <w:rPr>
          <w:rFonts w:ascii="Arial" w:hAnsi="Arial" w:cs="Arial"/>
          <w:i/>
          <w:iCs/>
        </w:rPr>
        <w:t>de facto všechny osoby, již jen tím, že znají okolnosti transakce, kterou provedly s jinou osobou</w:t>
      </w:r>
      <w:r w:rsidRPr="008F2797">
        <w:rPr>
          <w:rFonts w:ascii="Arial" w:hAnsi="Arial" w:cs="Arial"/>
        </w:rPr>
        <w:t xml:space="preserve">“. </w:t>
      </w:r>
    </w:p>
    <w:p w14:paraId="74AF20D6" w14:textId="0E196B27" w:rsidR="008F2797" w:rsidRDefault="008F2797" w:rsidP="008F2797">
      <w:pPr>
        <w:autoSpaceDE w:val="0"/>
        <w:autoSpaceDN w:val="0"/>
        <w:adjustRightInd w:val="0"/>
        <w:spacing w:line="276" w:lineRule="auto"/>
        <w:jc w:val="both"/>
        <w:rPr>
          <w:rFonts w:ascii="ArialMT" w:hAnsi="ArialMT" w:cs="ArialMT"/>
        </w:rPr>
      </w:pPr>
      <w:r w:rsidRPr="008F2797">
        <w:rPr>
          <w:rFonts w:ascii="Arial" w:hAnsi="Arial" w:cs="Arial"/>
        </w:rPr>
        <w:t>Tento metodický názor povinný subjekt s přihlédnutím k dostupné judikatuře a k důvodové zprávě k zákonu č. 283/2020 Sb. přehodnotil, jakkoli se to dosud formálně nepromítlo do</w:t>
      </w:r>
      <w:r>
        <w:rPr>
          <w:rFonts w:ascii="Arial" w:hAnsi="Arial" w:cs="Arial"/>
        </w:rPr>
        <w:t> </w:t>
      </w:r>
      <w:r w:rsidRPr="008F2797">
        <w:rPr>
          <w:rFonts w:ascii="Arial" w:hAnsi="Arial" w:cs="Arial"/>
        </w:rPr>
        <w:t xml:space="preserve">metodické oblasti. V současné době interpretuje § 57 daňového řádu, ve znění účinném do </w:t>
      </w:r>
      <w:r w:rsidRPr="008F2797">
        <w:rPr>
          <w:rFonts w:ascii="Arial" w:hAnsi="Arial" w:cs="Arial"/>
        </w:rPr>
        <w:lastRenderedPageBreak/>
        <w:t>31. 12. 2020, i v aktuálně účinném znění tak, že toto ustanovení dopadá na subjekty, které</w:t>
      </w:r>
      <w:r w:rsidRPr="008F2797">
        <w:rPr>
          <w:rFonts w:ascii="Arial" w:hAnsi="Arial" w:cs="Arial"/>
        </w:rPr>
        <w:t xml:space="preserve"> </w:t>
      </w:r>
      <w:r>
        <w:rPr>
          <w:rFonts w:ascii="ArialMT" w:hAnsi="ArialMT" w:cs="ArialMT"/>
        </w:rPr>
        <w:t>údaje nezbytné pro správu daní získávají opakovaně a pravidelně v rámci své běžné činnosti (např. osoby evidující údaje o ubytovaných osobách).</w:t>
      </w:r>
      <w:r>
        <w:rPr>
          <w:rFonts w:ascii="ArialMT" w:hAnsi="ArialMT" w:cs="ArialMT"/>
        </w:rPr>
        <w:t xml:space="preserve"> </w:t>
      </w:r>
    </w:p>
    <w:p w14:paraId="0BD0374A" w14:textId="65F8D437"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t>Diskutované zákonné ustanovení dopadá tudíž na systematické provádění operací, nikoli na</w:t>
      </w:r>
      <w:r>
        <w:rPr>
          <w:rFonts w:ascii="ArialMT" w:hAnsi="ArialMT" w:cs="ArialMT"/>
        </w:rPr>
        <w:t> </w:t>
      </w:r>
      <w:r>
        <w:rPr>
          <w:rFonts w:ascii="ArialMT" w:hAnsi="ArialMT" w:cs="ArialMT"/>
        </w:rPr>
        <w:t xml:space="preserve">operace s údaji prováděné </w:t>
      </w:r>
      <w:r>
        <w:rPr>
          <w:rFonts w:ascii="Arial-ItalicMT" w:hAnsi="Arial-ItalicMT" w:cs="Arial-ItalicMT"/>
          <w:i/>
          <w:iCs/>
        </w:rPr>
        <w:t xml:space="preserve">ad hoc, </w:t>
      </w:r>
      <w:r>
        <w:rPr>
          <w:rFonts w:ascii="ArialMT" w:hAnsi="ArialMT" w:cs="ArialMT"/>
        </w:rPr>
        <w:t xml:space="preserve">což by týkalo osob získávajících/zpracovávajících údaje jednorázově či nahodile. </w:t>
      </w:r>
      <w:r>
        <w:rPr>
          <w:rFonts w:ascii="ArialMT" w:hAnsi="ArialMT" w:cs="ArialMT"/>
        </w:rPr>
        <w:t xml:space="preserve"> </w:t>
      </w:r>
    </w:p>
    <w:p w14:paraId="733BB0AE" w14:textId="1FF7DAD7"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t>Pojem „</w:t>
      </w:r>
      <w:r>
        <w:rPr>
          <w:rFonts w:ascii="Arial-ItalicMT" w:hAnsi="Arial-ItalicMT" w:cs="Arial-ItalicMT"/>
          <w:i/>
          <w:iCs/>
        </w:rPr>
        <w:t>zpracovávání jiných údajů</w:t>
      </w:r>
      <w:r>
        <w:rPr>
          <w:rFonts w:ascii="ArialMT" w:hAnsi="ArialMT" w:cs="ArialMT"/>
        </w:rPr>
        <w:t>“ povinný subjekt obsahově vykládá jako dispozici s údaji v</w:t>
      </w:r>
      <w:r>
        <w:rPr>
          <w:rFonts w:ascii="ArialMT" w:hAnsi="ArialMT" w:cs="ArialMT"/>
        </w:rPr>
        <w:t> </w:t>
      </w:r>
      <w:r>
        <w:rPr>
          <w:rFonts w:ascii="ArialMT" w:hAnsi="ArialMT" w:cs="ArialMT"/>
        </w:rPr>
        <w:t>širokém slova smyslu, obdobně jako je tomu např. v případě nakládání s osobními údaji dle obecného nařízení o ochraně osobních údajů. Též z důvodové zprávy k zák. č. 283/2020 Sb. vyplývá, že provedená změna má za cíl sjednocení s obecnou terminologií evropské i národní úpravy ochrany osobních údajů. Pojem „</w:t>
      </w:r>
      <w:r>
        <w:rPr>
          <w:rFonts w:ascii="Arial-ItalicMT" w:hAnsi="Arial-ItalicMT" w:cs="Arial-ItalicMT"/>
          <w:i/>
          <w:iCs/>
        </w:rPr>
        <w:t>zpracovávání</w:t>
      </w:r>
      <w:r>
        <w:rPr>
          <w:rFonts w:ascii="ArialMT" w:hAnsi="ArialMT" w:cs="ArialMT"/>
        </w:rPr>
        <w:t>“ proto povinný subjekt považuje za</w:t>
      </w:r>
      <w:r>
        <w:rPr>
          <w:rFonts w:ascii="ArialMT" w:hAnsi="ArialMT" w:cs="ArialMT"/>
        </w:rPr>
        <w:t> </w:t>
      </w:r>
      <w:r>
        <w:rPr>
          <w:rFonts w:ascii="ArialMT" w:hAnsi="ArialMT" w:cs="ArialMT"/>
        </w:rPr>
        <w:t xml:space="preserve">zastřešující pojem pro shromažďování, zaznamenávání či jiné nakládání s údaji. </w:t>
      </w:r>
    </w:p>
    <w:p w14:paraId="39355970" w14:textId="15F22856"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t>Termínem „</w:t>
      </w:r>
      <w:r>
        <w:rPr>
          <w:rFonts w:ascii="Arial-ItalicMT" w:hAnsi="Arial-ItalicMT" w:cs="Arial-ItalicMT"/>
          <w:i/>
          <w:iCs/>
        </w:rPr>
        <w:t>jinými údaji nezbytnými pro správu daní</w:t>
      </w:r>
      <w:r>
        <w:rPr>
          <w:rFonts w:ascii="ArialMT" w:hAnsi="ArialMT" w:cs="ArialMT"/>
        </w:rPr>
        <w:t>“ se mají na mysli jiné údaje než ty, které jsou uvedeny pod písmeny a) až c) téhož zákonného ustanovení. Okruh těchto údajů není taxativně vymezen. Zároveň nutno upozornit, že povinný subjekt není oprávněn k závaznému výkladu právních předpisů a rovněž k poskytování právního poradenství v individuálních záležitostech.</w:t>
      </w:r>
    </w:p>
    <w:p w14:paraId="6341DA13" w14:textId="77777777"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t xml:space="preserve">K bodům 3. až 8. </w:t>
      </w:r>
    </w:p>
    <w:p w14:paraId="797E8135" w14:textId="77777777"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t xml:space="preserve">Úvodem se </w:t>
      </w:r>
      <w:proofErr w:type="gramStart"/>
      <w:r>
        <w:rPr>
          <w:rFonts w:ascii="ArialMT" w:hAnsi="ArialMT" w:cs="ArialMT"/>
        </w:rPr>
        <w:t>sluší</w:t>
      </w:r>
      <w:proofErr w:type="gramEnd"/>
      <w:r>
        <w:rPr>
          <w:rFonts w:ascii="ArialMT" w:hAnsi="ArialMT" w:cs="ArialMT"/>
        </w:rPr>
        <w:t xml:space="preserve"> uvést, že </w:t>
      </w:r>
      <w:r w:rsidRPr="008F2797">
        <w:rPr>
          <w:rFonts w:ascii="ArialMT" w:hAnsi="ArialMT" w:cs="ArialMT"/>
          <w:b/>
          <w:bCs/>
        </w:rPr>
        <w:t>údaje v požadovaném členění nejsou v daňovém informačním systému k dispozici</w:t>
      </w:r>
      <w:r>
        <w:rPr>
          <w:rFonts w:ascii="ArialMT" w:hAnsi="ArialMT" w:cs="ArialMT"/>
        </w:rPr>
        <w:t xml:space="preserve">. Není proto možno poskytnout detailní členění na jednotlivé odstavce a písmena daného zákonného ustanovení. </w:t>
      </w:r>
      <w:r w:rsidRPr="008F2797">
        <w:rPr>
          <w:rFonts w:ascii="ArialMT" w:hAnsi="ArialMT" w:cs="ArialMT"/>
          <w:b/>
          <w:bCs/>
        </w:rPr>
        <w:t>Poskytnutí takové informace by znamenalo ruční práci, pro niž by musela být vyčíslena náhrada nákladů dle § 17 InfZ</w:t>
      </w:r>
      <w:r>
        <w:rPr>
          <w:rFonts w:ascii="ArialMT" w:hAnsi="ArialMT" w:cs="ArialMT"/>
        </w:rPr>
        <w:t xml:space="preserve">. </w:t>
      </w:r>
    </w:p>
    <w:p w14:paraId="7C01E0F4" w14:textId="77777777"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t>K dotazu pod bodem 3. lze konstatovat, že podle § 57 daňového řádu jsou nejčastěji dotazovány banky. Dalšími častými adresáty jsou Česká správa sociálního zabezpečení a</w:t>
      </w:r>
      <w:r>
        <w:rPr>
          <w:rFonts w:ascii="ArialMT" w:hAnsi="ArialMT" w:cs="ArialMT"/>
        </w:rPr>
        <w:t> </w:t>
      </w:r>
      <w:r>
        <w:rPr>
          <w:rFonts w:ascii="ArialMT" w:hAnsi="ArialMT" w:cs="ArialMT"/>
        </w:rPr>
        <w:t xml:space="preserve">poskytovatelé veřejného pojištění (zdravotní pojišťovny). </w:t>
      </w:r>
    </w:p>
    <w:p w14:paraId="06023A5F" w14:textId="530F91C1"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t>K bodům č. 4 a č. 5 je s ohledem dostupné informace možno poskytnout pouze celkový počet výzev dle § 57 daňového řádu:</w:t>
      </w:r>
    </w:p>
    <w:tbl>
      <w:tblPr>
        <w:tblW w:w="9167" w:type="dxa"/>
        <w:tblInd w:w="-3" w:type="dxa"/>
        <w:tblCellMar>
          <w:left w:w="0" w:type="dxa"/>
          <w:right w:w="0" w:type="dxa"/>
        </w:tblCellMar>
        <w:tblLook w:val="04A0" w:firstRow="1" w:lastRow="0" w:firstColumn="1" w:lastColumn="0" w:noHBand="0" w:noVBand="1"/>
      </w:tblPr>
      <w:tblGrid>
        <w:gridCol w:w="2828"/>
        <w:gridCol w:w="6339"/>
      </w:tblGrid>
      <w:tr w:rsidR="008F2797" w:rsidRPr="00E76E16" w14:paraId="638383B1" w14:textId="77777777" w:rsidTr="00E906D8">
        <w:trPr>
          <w:trHeight w:val="258"/>
        </w:trPr>
        <w:tc>
          <w:tcPr>
            <w:tcW w:w="28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66065E" w14:textId="77777777" w:rsidR="008F2797" w:rsidRPr="00E76E16" w:rsidRDefault="008F2797" w:rsidP="00E906D8">
            <w:pPr>
              <w:jc w:val="center"/>
              <w:rPr>
                <w:rFonts w:ascii="Arial" w:hAnsi="Arial" w:cs="Arial"/>
                <w:b/>
                <w:bCs/>
                <w:color w:val="000000"/>
                <w:lang w:eastAsia="cs-CZ"/>
              </w:rPr>
            </w:pPr>
            <w:r w:rsidRPr="00E76E16">
              <w:rPr>
                <w:rFonts w:ascii="Arial" w:hAnsi="Arial" w:cs="Arial"/>
                <w:b/>
                <w:bCs/>
                <w:color w:val="000000"/>
              </w:rPr>
              <w:t>rok</w:t>
            </w:r>
          </w:p>
        </w:tc>
        <w:tc>
          <w:tcPr>
            <w:tcW w:w="6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20EF96D"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Počet odeslaných výzev dle §</w:t>
            </w:r>
            <w:r>
              <w:rPr>
                <w:rFonts w:ascii="Arial" w:hAnsi="Arial" w:cs="Arial"/>
                <w:b/>
                <w:bCs/>
                <w:color w:val="000000"/>
              </w:rPr>
              <w:t xml:space="preserve"> </w:t>
            </w:r>
            <w:r w:rsidRPr="00E76E16">
              <w:rPr>
                <w:rFonts w:ascii="Arial" w:hAnsi="Arial" w:cs="Arial"/>
                <w:b/>
                <w:bCs/>
                <w:color w:val="000000"/>
              </w:rPr>
              <w:t xml:space="preserve">57 </w:t>
            </w:r>
            <w:r>
              <w:rPr>
                <w:rFonts w:ascii="Arial" w:hAnsi="Arial" w:cs="Arial"/>
                <w:b/>
                <w:bCs/>
                <w:color w:val="000000"/>
              </w:rPr>
              <w:t>daňového řádu</w:t>
            </w:r>
          </w:p>
        </w:tc>
      </w:tr>
      <w:tr w:rsidR="008F2797" w:rsidRPr="00E76E16" w14:paraId="4742092E" w14:textId="77777777" w:rsidTr="00E906D8">
        <w:trPr>
          <w:trHeight w:val="308"/>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6006E0"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2013</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9F49697" w14:textId="77777777" w:rsidR="008F2797" w:rsidRPr="00E76E16" w:rsidRDefault="008F2797" w:rsidP="00E906D8">
            <w:pPr>
              <w:jc w:val="center"/>
              <w:rPr>
                <w:rFonts w:ascii="Arial" w:hAnsi="Arial" w:cs="Arial"/>
                <w:color w:val="000000"/>
              </w:rPr>
            </w:pPr>
            <w:r w:rsidRPr="00E76E16">
              <w:rPr>
                <w:rFonts w:ascii="Arial" w:hAnsi="Arial" w:cs="Arial"/>
                <w:color w:val="000000"/>
              </w:rPr>
              <w:t>128 113</w:t>
            </w:r>
          </w:p>
        </w:tc>
      </w:tr>
      <w:tr w:rsidR="008F2797" w:rsidRPr="00E76E16" w14:paraId="6D0D13AF" w14:textId="77777777" w:rsidTr="00E906D8">
        <w:trPr>
          <w:trHeight w:val="230"/>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66F9E2"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2014</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88D3A94" w14:textId="77777777" w:rsidR="008F2797" w:rsidRPr="00E76E16" w:rsidRDefault="008F2797" w:rsidP="00E906D8">
            <w:pPr>
              <w:jc w:val="center"/>
              <w:rPr>
                <w:rFonts w:ascii="Arial" w:hAnsi="Arial" w:cs="Arial"/>
                <w:color w:val="000000"/>
              </w:rPr>
            </w:pPr>
            <w:r w:rsidRPr="00E76E16">
              <w:rPr>
                <w:rFonts w:ascii="Arial" w:hAnsi="Arial" w:cs="Arial"/>
                <w:color w:val="000000"/>
              </w:rPr>
              <w:t>139 667</w:t>
            </w:r>
          </w:p>
        </w:tc>
      </w:tr>
      <w:tr w:rsidR="008F2797" w:rsidRPr="00E76E16" w14:paraId="0DA6F37C" w14:textId="77777777" w:rsidTr="00E906D8">
        <w:trPr>
          <w:trHeight w:val="307"/>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9B90B33"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2015</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3AEF6949" w14:textId="77777777" w:rsidR="008F2797" w:rsidRPr="00E76E16" w:rsidRDefault="008F2797" w:rsidP="00E906D8">
            <w:pPr>
              <w:jc w:val="center"/>
              <w:rPr>
                <w:rFonts w:ascii="Arial" w:hAnsi="Arial" w:cs="Arial"/>
                <w:color w:val="000000"/>
              </w:rPr>
            </w:pPr>
            <w:r w:rsidRPr="00E76E16">
              <w:rPr>
                <w:rFonts w:ascii="Arial" w:hAnsi="Arial" w:cs="Arial"/>
                <w:color w:val="000000"/>
              </w:rPr>
              <w:t>183 038</w:t>
            </w:r>
          </w:p>
        </w:tc>
      </w:tr>
      <w:tr w:rsidR="008F2797" w:rsidRPr="00E76E16" w14:paraId="53A9038C" w14:textId="77777777" w:rsidTr="00E906D8">
        <w:trPr>
          <w:trHeight w:val="307"/>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D786FB"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2016</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5F622818" w14:textId="77777777" w:rsidR="008F2797" w:rsidRPr="00E76E16" w:rsidRDefault="008F2797" w:rsidP="00E906D8">
            <w:pPr>
              <w:jc w:val="center"/>
              <w:rPr>
                <w:rFonts w:ascii="Arial" w:hAnsi="Arial" w:cs="Arial"/>
                <w:color w:val="000000"/>
              </w:rPr>
            </w:pPr>
            <w:r w:rsidRPr="00E76E16">
              <w:rPr>
                <w:rFonts w:ascii="Arial" w:hAnsi="Arial" w:cs="Arial"/>
                <w:color w:val="000000"/>
              </w:rPr>
              <w:t>215 129</w:t>
            </w:r>
          </w:p>
        </w:tc>
      </w:tr>
      <w:tr w:rsidR="008F2797" w:rsidRPr="00E76E16" w14:paraId="3FDC70BA" w14:textId="77777777" w:rsidTr="00E906D8">
        <w:trPr>
          <w:trHeight w:val="307"/>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FA021B"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2017</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332F7D08" w14:textId="77777777" w:rsidR="008F2797" w:rsidRPr="00E76E16" w:rsidRDefault="008F2797" w:rsidP="00E906D8">
            <w:pPr>
              <w:jc w:val="center"/>
              <w:rPr>
                <w:rFonts w:ascii="Arial" w:hAnsi="Arial" w:cs="Arial"/>
                <w:color w:val="000000"/>
              </w:rPr>
            </w:pPr>
            <w:r w:rsidRPr="00E76E16">
              <w:rPr>
                <w:rFonts w:ascii="Arial" w:hAnsi="Arial" w:cs="Arial"/>
                <w:color w:val="000000"/>
              </w:rPr>
              <w:t>242 661</w:t>
            </w:r>
          </w:p>
        </w:tc>
      </w:tr>
      <w:tr w:rsidR="008F2797" w:rsidRPr="00E76E16" w14:paraId="74ECC2BE" w14:textId="77777777" w:rsidTr="00E906D8">
        <w:trPr>
          <w:trHeight w:val="307"/>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DD5ABA"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2018</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74EE4C29" w14:textId="77777777" w:rsidR="008F2797" w:rsidRPr="00E76E16" w:rsidRDefault="008F2797" w:rsidP="00E906D8">
            <w:pPr>
              <w:jc w:val="center"/>
              <w:rPr>
                <w:rFonts w:ascii="Arial" w:hAnsi="Arial" w:cs="Arial"/>
                <w:color w:val="000000"/>
              </w:rPr>
            </w:pPr>
            <w:r w:rsidRPr="00E76E16">
              <w:rPr>
                <w:rFonts w:ascii="Arial" w:hAnsi="Arial" w:cs="Arial"/>
                <w:color w:val="000000"/>
              </w:rPr>
              <w:t>260 879</w:t>
            </w:r>
          </w:p>
        </w:tc>
      </w:tr>
      <w:tr w:rsidR="008F2797" w:rsidRPr="00E76E16" w14:paraId="201BB750" w14:textId="77777777" w:rsidTr="00E906D8">
        <w:trPr>
          <w:trHeight w:val="307"/>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F7EAFC"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2019</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76FE980A" w14:textId="77777777" w:rsidR="008F2797" w:rsidRPr="00E76E16" w:rsidRDefault="008F2797" w:rsidP="00E906D8">
            <w:pPr>
              <w:jc w:val="center"/>
              <w:rPr>
                <w:rFonts w:ascii="Arial" w:hAnsi="Arial" w:cs="Arial"/>
                <w:color w:val="000000"/>
              </w:rPr>
            </w:pPr>
            <w:r w:rsidRPr="00E76E16">
              <w:rPr>
                <w:rFonts w:ascii="Arial" w:hAnsi="Arial" w:cs="Arial"/>
                <w:color w:val="000000"/>
              </w:rPr>
              <w:t>267 732</w:t>
            </w:r>
          </w:p>
        </w:tc>
      </w:tr>
      <w:tr w:rsidR="008F2797" w:rsidRPr="00E76E16" w14:paraId="14A2D15D" w14:textId="77777777" w:rsidTr="00E906D8">
        <w:trPr>
          <w:trHeight w:val="307"/>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543F51"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2020</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550DFCA9" w14:textId="77777777" w:rsidR="008F2797" w:rsidRPr="00E76E16" w:rsidRDefault="008F2797" w:rsidP="00E906D8">
            <w:pPr>
              <w:jc w:val="center"/>
              <w:rPr>
                <w:rFonts w:ascii="Arial" w:hAnsi="Arial" w:cs="Arial"/>
                <w:color w:val="000000"/>
              </w:rPr>
            </w:pPr>
            <w:r w:rsidRPr="00E76E16">
              <w:rPr>
                <w:rFonts w:ascii="Arial" w:hAnsi="Arial" w:cs="Arial"/>
                <w:color w:val="000000"/>
              </w:rPr>
              <w:t>181 217</w:t>
            </w:r>
          </w:p>
        </w:tc>
      </w:tr>
      <w:tr w:rsidR="008F2797" w:rsidRPr="00E76E16" w14:paraId="00829B11" w14:textId="77777777" w:rsidTr="00E906D8">
        <w:trPr>
          <w:trHeight w:val="307"/>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469AD3"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2021</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0AE79C7" w14:textId="77777777" w:rsidR="008F2797" w:rsidRPr="00E76E16" w:rsidRDefault="008F2797" w:rsidP="00E906D8">
            <w:pPr>
              <w:jc w:val="center"/>
              <w:rPr>
                <w:rFonts w:ascii="Arial" w:hAnsi="Arial" w:cs="Arial"/>
                <w:color w:val="000000"/>
              </w:rPr>
            </w:pPr>
            <w:r w:rsidRPr="00E76E16">
              <w:rPr>
                <w:rFonts w:ascii="Arial" w:hAnsi="Arial" w:cs="Arial"/>
                <w:color w:val="000000"/>
              </w:rPr>
              <w:t>182 667</w:t>
            </w:r>
          </w:p>
        </w:tc>
      </w:tr>
      <w:tr w:rsidR="008F2797" w:rsidRPr="00E76E16" w14:paraId="427D9C57" w14:textId="77777777" w:rsidTr="00E906D8">
        <w:trPr>
          <w:trHeight w:val="307"/>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839180"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2022</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2B71A96E" w14:textId="77777777" w:rsidR="008F2797" w:rsidRPr="00E76E16" w:rsidRDefault="008F2797" w:rsidP="00E906D8">
            <w:pPr>
              <w:jc w:val="center"/>
              <w:rPr>
                <w:rFonts w:ascii="Arial" w:hAnsi="Arial" w:cs="Arial"/>
                <w:color w:val="000000"/>
              </w:rPr>
            </w:pPr>
            <w:r w:rsidRPr="00E76E16">
              <w:rPr>
                <w:rFonts w:ascii="Arial" w:hAnsi="Arial" w:cs="Arial"/>
                <w:color w:val="000000"/>
              </w:rPr>
              <w:t>199 694</w:t>
            </w:r>
          </w:p>
        </w:tc>
      </w:tr>
      <w:tr w:rsidR="008F2797" w:rsidRPr="00E76E16" w14:paraId="72DA3F3E" w14:textId="77777777" w:rsidTr="00E906D8">
        <w:trPr>
          <w:trHeight w:val="60"/>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E3A0B7"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2023</w:t>
            </w:r>
          </w:p>
        </w:tc>
        <w:tc>
          <w:tcPr>
            <w:tcW w:w="6339"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22996C3E" w14:textId="77777777" w:rsidR="008F2797" w:rsidRPr="00E76E16" w:rsidRDefault="008F2797" w:rsidP="00E906D8">
            <w:pPr>
              <w:jc w:val="center"/>
              <w:rPr>
                <w:rFonts w:ascii="Arial" w:hAnsi="Arial" w:cs="Arial"/>
                <w:color w:val="000000"/>
              </w:rPr>
            </w:pPr>
            <w:r w:rsidRPr="00E76E16">
              <w:rPr>
                <w:rFonts w:ascii="Arial" w:hAnsi="Arial" w:cs="Arial"/>
                <w:color w:val="000000"/>
              </w:rPr>
              <w:t>173 407</w:t>
            </w:r>
          </w:p>
        </w:tc>
      </w:tr>
    </w:tbl>
    <w:p w14:paraId="2BF1F275" w14:textId="77777777"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lastRenderedPageBreak/>
        <w:t xml:space="preserve">K bodu č. 6 nutno sdělit, že oblast pořádkových pokut nemá v daňovém informačním systému vlastní úlohu, a proto není možné vyhledat ty, které se týkají § 57 daňového řádu. </w:t>
      </w:r>
    </w:p>
    <w:p w14:paraId="0D3F0B39" w14:textId="7BEF3D0E" w:rsidR="008F2797" w:rsidRDefault="008F2797" w:rsidP="008F2797">
      <w:pPr>
        <w:autoSpaceDE w:val="0"/>
        <w:autoSpaceDN w:val="0"/>
        <w:adjustRightInd w:val="0"/>
        <w:spacing w:line="276" w:lineRule="auto"/>
        <w:jc w:val="both"/>
        <w:rPr>
          <w:rFonts w:ascii="ArialMT" w:hAnsi="ArialMT" w:cs="ArialMT"/>
          <w:color w:val="000000"/>
        </w:rPr>
      </w:pPr>
      <w:r>
        <w:rPr>
          <w:rFonts w:ascii="ArialMT" w:hAnsi="ArialMT" w:cs="ArialMT"/>
        </w:rPr>
        <w:t>Z uvedeného důvodu je poskytován údaj o celkovém počtu rozhodnutí o udělení pořádkové pokuty dle § 247 odst. 1 daňového řádu:</w:t>
      </w:r>
    </w:p>
    <w:tbl>
      <w:tblPr>
        <w:tblW w:w="9065" w:type="dxa"/>
        <w:tblInd w:w="-3" w:type="dxa"/>
        <w:tblCellMar>
          <w:left w:w="0" w:type="dxa"/>
          <w:right w:w="0" w:type="dxa"/>
        </w:tblCellMar>
        <w:tblLook w:val="04A0" w:firstRow="1" w:lastRow="0" w:firstColumn="1" w:lastColumn="0" w:noHBand="0" w:noVBand="1"/>
      </w:tblPr>
      <w:tblGrid>
        <w:gridCol w:w="2828"/>
        <w:gridCol w:w="6237"/>
      </w:tblGrid>
      <w:tr w:rsidR="008F2797" w:rsidRPr="00E76E16" w14:paraId="38702563" w14:textId="77777777" w:rsidTr="00E906D8">
        <w:trPr>
          <w:trHeight w:val="162"/>
        </w:trPr>
        <w:tc>
          <w:tcPr>
            <w:tcW w:w="28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E2D6C6" w14:textId="77777777" w:rsidR="008F2797" w:rsidRPr="00E76E16" w:rsidRDefault="008F2797" w:rsidP="00E906D8">
            <w:pPr>
              <w:jc w:val="center"/>
              <w:rPr>
                <w:rFonts w:ascii="Arial" w:hAnsi="Arial" w:cs="Arial"/>
                <w:b/>
                <w:bCs/>
                <w:color w:val="000000"/>
                <w:lang w:eastAsia="cs-CZ"/>
              </w:rPr>
            </w:pPr>
            <w:r w:rsidRPr="00E76E16">
              <w:rPr>
                <w:rFonts w:ascii="Arial" w:hAnsi="Arial" w:cs="Arial"/>
                <w:b/>
                <w:bCs/>
                <w:color w:val="000000"/>
              </w:rPr>
              <w:t>rok</w:t>
            </w:r>
          </w:p>
        </w:tc>
        <w:tc>
          <w:tcPr>
            <w:tcW w:w="623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A56365B"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Počty odpovědí na výzvy dle §</w:t>
            </w:r>
            <w:r>
              <w:rPr>
                <w:rFonts w:ascii="Arial" w:hAnsi="Arial" w:cs="Arial"/>
                <w:b/>
                <w:bCs/>
                <w:color w:val="000000"/>
              </w:rPr>
              <w:t xml:space="preserve"> </w:t>
            </w:r>
            <w:r w:rsidRPr="00E76E16">
              <w:rPr>
                <w:rFonts w:ascii="Arial" w:hAnsi="Arial" w:cs="Arial"/>
                <w:b/>
                <w:bCs/>
                <w:color w:val="000000"/>
              </w:rPr>
              <w:t xml:space="preserve">57 </w:t>
            </w:r>
            <w:r>
              <w:rPr>
                <w:rFonts w:ascii="Arial" w:hAnsi="Arial" w:cs="Arial"/>
                <w:b/>
                <w:bCs/>
                <w:color w:val="000000"/>
              </w:rPr>
              <w:t>daňového řádu</w:t>
            </w:r>
          </w:p>
        </w:tc>
      </w:tr>
      <w:tr w:rsidR="008F2797" w:rsidRPr="00E76E16" w14:paraId="46AF4E7B"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57291F"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2013</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7D16227" w14:textId="77777777" w:rsidR="008F2797" w:rsidRPr="00E76E16" w:rsidRDefault="008F2797" w:rsidP="00E906D8">
            <w:pPr>
              <w:jc w:val="center"/>
              <w:rPr>
                <w:rFonts w:ascii="Arial" w:hAnsi="Arial" w:cs="Arial"/>
                <w:color w:val="000000"/>
              </w:rPr>
            </w:pPr>
            <w:r w:rsidRPr="00E76E16">
              <w:rPr>
                <w:rFonts w:ascii="Arial" w:hAnsi="Arial" w:cs="Arial"/>
                <w:color w:val="000000"/>
              </w:rPr>
              <w:t>140 552</w:t>
            </w:r>
          </w:p>
        </w:tc>
      </w:tr>
      <w:tr w:rsidR="008F2797" w:rsidRPr="00E76E16" w14:paraId="55779E54"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629621"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2014</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37265AD6" w14:textId="77777777" w:rsidR="008F2797" w:rsidRPr="00E76E16" w:rsidRDefault="008F2797" w:rsidP="00E906D8">
            <w:pPr>
              <w:jc w:val="center"/>
              <w:rPr>
                <w:rFonts w:ascii="Arial" w:hAnsi="Arial" w:cs="Arial"/>
                <w:color w:val="000000"/>
              </w:rPr>
            </w:pPr>
            <w:r w:rsidRPr="00E76E16">
              <w:rPr>
                <w:rFonts w:ascii="Arial" w:hAnsi="Arial" w:cs="Arial"/>
                <w:color w:val="000000"/>
              </w:rPr>
              <w:t>151 424</w:t>
            </w:r>
          </w:p>
        </w:tc>
      </w:tr>
      <w:tr w:rsidR="008F2797" w:rsidRPr="00E76E16" w14:paraId="7369D989"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01ED81"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2015</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0A016AC6" w14:textId="77777777" w:rsidR="008F2797" w:rsidRPr="00E76E16" w:rsidRDefault="008F2797" w:rsidP="00E906D8">
            <w:pPr>
              <w:jc w:val="center"/>
              <w:rPr>
                <w:rFonts w:ascii="Arial" w:hAnsi="Arial" w:cs="Arial"/>
                <w:color w:val="000000"/>
              </w:rPr>
            </w:pPr>
            <w:r w:rsidRPr="00E76E16">
              <w:rPr>
                <w:rFonts w:ascii="Arial" w:hAnsi="Arial" w:cs="Arial"/>
                <w:color w:val="000000"/>
              </w:rPr>
              <w:t>206 380</w:t>
            </w:r>
          </w:p>
        </w:tc>
      </w:tr>
      <w:tr w:rsidR="008F2797" w:rsidRPr="00E76E16" w14:paraId="1DC5DD37"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CB5208"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2016</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1916E117" w14:textId="77777777" w:rsidR="008F2797" w:rsidRPr="00E76E16" w:rsidRDefault="008F2797" w:rsidP="00E906D8">
            <w:pPr>
              <w:jc w:val="center"/>
              <w:rPr>
                <w:rFonts w:ascii="Arial" w:hAnsi="Arial" w:cs="Arial"/>
                <w:color w:val="000000"/>
              </w:rPr>
            </w:pPr>
            <w:r w:rsidRPr="00E76E16">
              <w:rPr>
                <w:rFonts w:ascii="Arial" w:hAnsi="Arial" w:cs="Arial"/>
                <w:color w:val="000000"/>
              </w:rPr>
              <w:t>240 193</w:t>
            </w:r>
          </w:p>
        </w:tc>
      </w:tr>
      <w:tr w:rsidR="008F2797" w:rsidRPr="00E76E16" w14:paraId="7E74928D"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AC440C0"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2017</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65F4E14F" w14:textId="77777777" w:rsidR="008F2797" w:rsidRPr="00E76E16" w:rsidRDefault="008F2797" w:rsidP="00E906D8">
            <w:pPr>
              <w:jc w:val="center"/>
              <w:rPr>
                <w:rFonts w:ascii="Arial" w:hAnsi="Arial" w:cs="Arial"/>
                <w:color w:val="000000"/>
              </w:rPr>
            </w:pPr>
            <w:r w:rsidRPr="00E76E16">
              <w:rPr>
                <w:rFonts w:ascii="Arial" w:hAnsi="Arial" w:cs="Arial"/>
                <w:color w:val="000000"/>
              </w:rPr>
              <w:t>267 960</w:t>
            </w:r>
          </w:p>
        </w:tc>
      </w:tr>
      <w:tr w:rsidR="008F2797" w:rsidRPr="00E76E16" w14:paraId="6207F376"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2718EB"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2018</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BF3C636" w14:textId="77777777" w:rsidR="008F2797" w:rsidRPr="00E76E16" w:rsidRDefault="008F2797" w:rsidP="00E906D8">
            <w:pPr>
              <w:jc w:val="center"/>
              <w:rPr>
                <w:rFonts w:ascii="Arial" w:hAnsi="Arial" w:cs="Arial"/>
                <w:color w:val="000000"/>
              </w:rPr>
            </w:pPr>
            <w:r w:rsidRPr="00E76E16">
              <w:rPr>
                <w:rFonts w:ascii="Arial" w:hAnsi="Arial" w:cs="Arial"/>
                <w:color w:val="000000"/>
              </w:rPr>
              <w:t>285 503</w:t>
            </w:r>
          </w:p>
        </w:tc>
      </w:tr>
      <w:tr w:rsidR="008F2797" w:rsidRPr="00E76E16" w14:paraId="00EEA707"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13DAA5"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2019</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22B7D18C" w14:textId="77777777" w:rsidR="008F2797" w:rsidRPr="00E76E16" w:rsidRDefault="008F2797" w:rsidP="00E906D8">
            <w:pPr>
              <w:jc w:val="center"/>
              <w:rPr>
                <w:rFonts w:ascii="Arial" w:hAnsi="Arial" w:cs="Arial"/>
                <w:color w:val="000000"/>
              </w:rPr>
            </w:pPr>
            <w:r w:rsidRPr="00E76E16">
              <w:rPr>
                <w:rFonts w:ascii="Arial" w:hAnsi="Arial" w:cs="Arial"/>
                <w:color w:val="000000"/>
              </w:rPr>
              <w:t>288 480</w:t>
            </w:r>
          </w:p>
        </w:tc>
      </w:tr>
      <w:tr w:rsidR="008F2797" w:rsidRPr="00E76E16" w14:paraId="56945F60"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8A6FBD"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2020</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7FED8857" w14:textId="77777777" w:rsidR="008F2797" w:rsidRPr="00E76E16" w:rsidRDefault="008F2797" w:rsidP="00E906D8">
            <w:pPr>
              <w:jc w:val="center"/>
              <w:rPr>
                <w:rFonts w:ascii="Arial" w:hAnsi="Arial" w:cs="Arial"/>
                <w:color w:val="000000"/>
              </w:rPr>
            </w:pPr>
            <w:r w:rsidRPr="00E76E16">
              <w:rPr>
                <w:rFonts w:ascii="Arial" w:hAnsi="Arial" w:cs="Arial"/>
                <w:color w:val="000000"/>
              </w:rPr>
              <w:t>192 984</w:t>
            </w:r>
          </w:p>
        </w:tc>
      </w:tr>
      <w:tr w:rsidR="008F2797" w:rsidRPr="00E76E16" w14:paraId="448B84A7"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1BC3C3"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2021</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6531DA2B" w14:textId="77777777" w:rsidR="008F2797" w:rsidRPr="00E76E16" w:rsidRDefault="008F2797" w:rsidP="00E906D8">
            <w:pPr>
              <w:jc w:val="center"/>
              <w:rPr>
                <w:rFonts w:ascii="Arial" w:hAnsi="Arial" w:cs="Arial"/>
                <w:color w:val="000000"/>
              </w:rPr>
            </w:pPr>
            <w:r w:rsidRPr="00E76E16">
              <w:rPr>
                <w:rFonts w:ascii="Arial" w:hAnsi="Arial" w:cs="Arial"/>
                <w:color w:val="000000"/>
              </w:rPr>
              <w:t>187 172</w:t>
            </w:r>
          </w:p>
        </w:tc>
      </w:tr>
      <w:tr w:rsidR="008F2797" w:rsidRPr="00E76E16" w14:paraId="53CAF25F"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6CDD20"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2022</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666BE206" w14:textId="77777777" w:rsidR="008F2797" w:rsidRPr="00E76E16" w:rsidRDefault="008F2797" w:rsidP="00E906D8">
            <w:pPr>
              <w:jc w:val="center"/>
              <w:rPr>
                <w:rFonts w:ascii="Arial" w:hAnsi="Arial" w:cs="Arial"/>
                <w:color w:val="000000"/>
              </w:rPr>
            </w:pPr>
            <w:r w:rsidRPr="00E76E16">
              <w:rPr>
                <w:rFonts w:ascii="Arial" w:hAnsi="Arial" w:cs="Arial"/>
                <w:color w:val="000000"/>
              </w:rPr>
              <w:t>208 999</w:t>
            </w:r>
          </w:p>
        </w:tc>
      </w:tr>
      <w:tr w:rsidR="008F2797" w:rsidRPr="00E76E16" w14:paraId="1178379A" w14:textId="77777777" w:rsidTr="00E906D8">
        <w:trPr>
          <w:trHeight w:val="81"/>
        </w:trPr>
        <w:tc>
          <w:tcPr>
            <w:tcW w:w="28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BC0F975"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2023</w:t>
            </w:r>
          </w:p>
        </w:tc>
        <w:tc>
          <w:tcPr>
            <w:tcW w:w="6237"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252EDA44" w14:textId="77777777" w:rsidR="008F2797" w:rsidRPr="00E76E16" w:rsidRDefault="008F2797" w:rsidP="00E906D8">
            <w:pPr>
              <w:jc w:val="center"/>
              <w:rPr>
                <w:rFonts w:ascii="Arial" w:hAnsi="Arial" w:cs="Arial"/>
                <w:color w:val="000000"/>
              </w:rPr>
            </w:pPr>
            <w:r w:rsidRPr="00E76E16">
              <w:rPr>
                <w:rFonts w:ascii="Arial" w:hAnsi="Arial" w:cs="Arial"/>
                <w:color w:val="000000"/>
              </w:rPr>
              <w:t>175 068</w:t>
            </w:r>
          </w:p>
        </w:tc>
      </w:tr>
    </w:tbl>
    <w:p w14:paraId="24063806" w14:textId="4BF9BAB4" w:rsidR="008F2797" w:rsidRDefault="008F2797" w:rsidP="008F2797">
      <w:pPr>
        <w:autoSpaceDE w:val="0"/>
        <w:autoSpaceDN w:val="0"/>
        <w:adjustRightInd w:val="0"/>
        <w:spacing w:line="276" w:lineRule="auto"/>
        <w:jc w:val="both"/>
        <w:rPr>
          <w:rFonts w:ascii="ArialMT" w:hAnsi="ArialMT" w:cs="ArialMT"/>
          <w:color w:val="000000"/>
        </w:rPr>
      </w:pPr>
    </w:p>
    <w:p w14:paraId="467C683A" w14:textId="5251229B"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t>K bodu č. 7 se uvádí celkový počet rozhodnutí o uložení pořádkové pokuty dle § 247 odst. 2 daňového řádu, opět bez vazby na § 57 téhož zákona:</w:t>
      </w:r>
    </w:p>
    <w:tbl>
      <w:tblPr>
        <w:tblW w:w="8782" w:type="dxa"/>
        <w:tblInd w:w="-3" w:type="dxa"/>
        <w:tblCellMar>
          <w:left w:w="0" w:type="dxa"/>
          <w:right w:w="0" w:type="dxa"/>
        </w:tblCellMar>
        <w:tblLook w:val="04A0" w:firstRow="1" w:lastRow="0" w:firstColumn="1" w:lastColumn="0" w:noHBand="0" w:noVBand="1"/>
      </w:tblPr>
      <w:tblGrid>
        <w:gridCol w:w="2687"/>
        <w:gridCol w:w="6095"/>
      </w:tblGrid>
      <w:tr w:rsidR="008F2797" w:rsidRPr="00E76E16" w14:paraId="432DD59B" w14:textId="77777777" w:rsidTr="00E906D8">
        <w:trPr>
          <w:trHeight w:val="433"/>
        </w:trPr>
        <w:tc>
          <w:tcPr>
            <w:tcW w:w="26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9048D31" w14:textId="77777777" w:rsidR="008F2797" w:rsidRPr="00E76E16" w:rsidRDefault="008F2797" w:rsidP="00E906D8">
            <w:pPr>
              <w:jc w:val="center"/>
              <w:rPr>
                <w:rFonts w:ascii="Arial" w:hAnsi="Arial" w:cs="Arial"/>
                <w:b/>
                <w:bCs/>
                <w:color w:val="000000"/>
                <w:lang w:eastAsia="cs-CZ"/>
              </w:rPr>
            </w:pPr>
            <w:r w:rsidRPr="00E76E16">
              <w:rPr>
                <w:rFonts w:ascii="Arial" w:hAnsi="Arial" w:cs="Arial"/>
                <w:b/>
                <w:bCs/>
                <w:color w:val="000000"/>
              </w:rPr>
              <w:t>rok</w:t>
            </w:r>
          </w:p>
        </w:tc>
        <w:tc>
          <w:tcPr>
            <w:tcW w:w="60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EA96252"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Počty pořádkových pokut dle § 247/2</w:t>
            </w:r>
          </w:p>
        </w:tc>
      </w:tr>
      <w:tr w:rsidR="008F2797" w:rsidRPr="00E76E16" w14:paraId="47956285"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06871DA"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2013</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51E48A2B" w14:textId="77777777" w:rsidR="008F2797" w:rsidRPr="00E76E16" w:rsidRDefault="008F2797" w:rsidP="00E906D8">
            <w:pPr>
              <w:jc w:val="center"/>
              <w:rPr>
                <w:rFonts w:ascii="Arial" w:hAnsi="Arial" w:cs="Arial"/>
                <w:color w:val="000000"/>
              </w:rPr>
            </w:pPr>
            <w:r w:rsidRPr="00E76E16">
              <w:rPr>
                <w:rFonts w:ascii="Arial" w:hAnsi="Arial" w:cs="Arial"/>
                <w:color w:val="000000"/>
              </w:rPr>
              <w:t>108</w:t>
            </w:r>
          </w:p>
        </w:tc>
      </w:tr>
      <w:tr w:rsidR="008F2797" w:rsidRPr="00E76E16" w14:paraId="5858D14D"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F16C6C"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2014</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70D9387C" w14:textId="77777777" w:rsidR="008F2797" w:rsidRPr="00E76E16" w:rsidRDefault="008F2797" w:rsidP="00E906D8">
            <w:pPr>
              <w:jc w:val="center"/>
              <w:rPr>
                <w:rFonts w:ascii="Arial" w:hAnsi="Arial" w:cs="Arial"/>
                <w:color w:val="000000"/>
              </w:rPr>
            </w:pPr>
            <w:r w:rsidRPr="00E76E16">
              <w:rPr>
                <w:rFonts w:ascii="Arial" w:hAnsi="Arial" w:cs="Arial"/>
                <w:color w:val="000000"/>
              </w:rPr>
              <w:t>90</w:t>
            </w:r>
          </w:p>
        </w:tc>
      </w:tr>
      <w:tr w:rsidR="008F2797" w:rsidRPr="00E76E16" w14:paraId="235FD600"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62524F"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2015</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70FC8AA5" w14:textId="77777777" w:rsidR="008F2797" w:rsidRPr="00E76E16" w:rsidRDefault="008F2797" w:rsidP="00E906D8">
            <w:pPr>
              <w:jc w:val="center"/>
              <w:rPr>
                <w:rFonts w:ascii="Arial" w:hAnsi="Arial" w:cs="Arial"/>
                <w:color w:val="000000"/>
              </w:rPr>
            </w:pPr>
            <w:r w:rsidRPr="00E76E16">
              <w:rPr>
                <w:rFonts w:ascii="Arial" w:hAnsi="Arial" w:cs="Arial"/>
                <w:color w:val="000000"/>
              </w:rPr>
              <w:t>352</w:t>
            </w:r>
          </w:p>
        </w:tc>
      </w:tr>
      <w:tr w:rsidR="008F2797" w:rsidRPr="00E76E16" w14:paraId="795D2995"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A193CB"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2016</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07AFABC4" w14:textId="77777777" w:rsidR="008F2797" w:rsidRPr="00E76E16" w:rsidRDefault="008F2797" w:rsidP="00E906D8">
            <w:pPr>
              <w:jc w:val="center"/>
              <w:rPr>
                <w:rFonts w:ascii="Arial" w:hAnsi="Arial" w:cs="Arial"/>
                <w:color w:val="000000"/>
              </w:rPr>
            </w:pPr>
            <w:r w:rsidRPr="00E76E16">
              <w:rPr>
                <w:rFonts w:ascii="Arial" w:hAnsi="Arial" w:cs="Arial"/>
                <w:color w:val="000000"/>
              </w:rPr>
              <w:t>170</w:t>
            </w:r>
          </w:p>
        </w:tc>
      </w:tr>
      <w:tr w:rsidR="008F2797" w:rsidRPr="00E76E16" w14:paraId="3A0D0DD8"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113FDB"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2017</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5ECB5873" w14:textId="77777777" w:rsidR="008F2797" w:rsidRPr="00E76E16" w:rsidRDefault="008F2797" w:rsidP="00E906D8">
            <w:pPr>
              <w:jc w:val="center"/>
              <w:rPr>
                <w:rFonts w:ascii="Arial" w:hAnsi="Arial" w:cs="Arial"/>
                <w:color w:val="000000"/>
              </w:rPr>
            </w:pPr>
            <w:r w:rsidRPr="00E76E16">
              <w:rPr>
                <w:rFonts w:ascii="Arial" w:hAnsi="Arial" w:cs="Arial"/>
                <w:color w:val="000000"/>
              </w:rPr>
              <w:t>149</w:t>
            </w:r>
          </w:p>
        </w:tc>
      </w:tr>
      <w:tr w:rsidR="008F2797" w:rsidRPr="00E76E16" w14:paraId="5630E04B"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D8D7AF"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2018</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16D7219A" w14:textId="77777777" w:rsidR="008F2797" w:rsidRPr="00E76E16" w:rsidRDefault="008F2797" w:rsidP="00E906D8">
            <w:pPr>
              <w:jc w:val="center"/>
              <w:rPr>
                <w:rFonts w:ascii="Arial" w:hAnsi="Arial" w:cs="Arial"/>
                <w:color w:val="000000"/>
              </w:rPr>
            </w:pPr>
            <w:r w:rsidRPr="00E76E16">
              <w:rPr>
                <w:rFonts w:ascii="Arial" w:hAnsi="Arial" w:cs="Arial"/>
                <w:color w:val="000000"/>
              </w:rPr>
              <w:t>186</w:t>
            </w:r>
          </w:p>
        </w:tc>
      </w:tr>
      <w:tr w:rsidR="008F2797" w:rsidRPr="00E76E16" w14:paraId="5E7DFD23"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1984CC"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2019</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6A0860FF" w14:textId="77777777" w:rsidR="008F2797" w:rsidRPr="00E76E16" w:rsidRDefault="008F2797" w:rsidP="00E906D8">
            <w:pPr>
              <w:jc w:val="center"/>
              <w:rPr>
                <w:rFonts w:ascii="Arial" w:hAnsi="Arial" w:cs="Arial"/>
                <w:color w:val="000000"/>
              </w:rPr>
            </w:pPr>
            <w:r w:rsidRPr="00E76E16">
              <w:rPr>
                <w:rFonts w:ascii="Arial" w:hAnsi="Arial" w:cs="Arial"/>
                <w:color w:val="000000"/>
              </w:rPr>
              <w:t>195</w:t>
            </w:r>
          </w:p>
        </w:tc>
      </w:tr>
      <w:tr w:rsidR="008F2797" w:rsidRPr="00E76E16" w14:paraId="2C713041"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651423"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2020</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1AC25630" w14:textId="77777777" w:rsidR="008F2797" w:rsidRPr="00E76E16" w:rsidRDefault="008F2797" w:rsidP="00E906D8">
            <w:pPr>
              <w:jc w:val="center"/>
              <w:rPr>
                <w:rFonts w:ascii="Arial" w:hAnsi="Arial" w:cs="Arial"/>
                <w:color w:val="000000"/>
              </w:rPr>
            </w:pPr>
            <w:r w:rsidRPr="00E76E16">
              <w:rPr>
                <w:rFonts w:ascii="Arial" w:hAnsi="Arial" w:cs="Arial"/>
                <w:color w:val="000000"/>
              </w:rPr>
              <w:t>100</w:t>
            </w:r>
          </w:p>
        </w:tc>
      </w:tr>
      <w:tr w:rsidR="008F2797" w:rsidRPr="00E76E16" w14:paraId="21977E44"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54E5AA"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2021</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0CFB5924" w14:textId="77777777" w:rsidR="008F2797" w:rsidRPr="00E76E16" w:rsidRDefault="008F2797" w:rsidP="00E906D8">
            <w:pPr>
              <w:jc w:val="center"/>
              <w:rPr>
                <w:rFonts w:ascii="Arial" w:hAnsi="Arial" w:cs="Arial"/>
                <w:color w:val="000000"/>
              </w:rPr>
            </w:pPr>
            <w:r w:rsidRPr="00E76E16">
              <w:rPr>
                <w:rFonts w:ascii="Arial" w:hAnsi="Arial" w:cs="Arial"/>
                <w:color w:val="000000"/>
              </w:rPr>
              <w:t>133</w:t>
            </w:r>
          </w:p>
        </w:tc>
      </w:tr>
      <w:tr w:rsidR="008F2797" w:rsidRPr="00E76E16" w14:paraId="1F3D2C98"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D3B56B"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2022</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13E3A4FD" w14:textId="77777777" w:rsidR="008F2797" w:rsidRPr="00E76E16" w:rsidRDefault="008F2797" w:rsidP="00E906D8">
            <w:pPr>
              <w:jc w:val="center"/>
              <w:rPr>
                <w:rFonts w:ascii="Arial" w:hAnsi="Arial" w:cs="Arial"/>
                <w:color w:val="000000"/>
              </w:rPr>
            </w:pPr>
            <w:r w:rsidRPr="00E76E16">
              <w:rPr>
                <w:rFonts w:ascii="Arial" w:hAnsi="Arial" w:cs="Arial"/>
                <w:color w:val="000000"/>
              </w:rPr>
              <w:t>176</w:t>
            </w:r>
          </w:p>
        </w:tc>
      </w:tr>
      <w:tr w:rsidR="008F2797" w:rsidRPr="00E76E16" w14:paraId="46797D8E" w14:textId="77777777" w:rsidTr="00E906D8">
        <w:trPr>
          <w:trHeight w:val="30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8E47CEB"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2023</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098F19A" w14:textId="77777777" w:rsidR="008F2797" w:rsidRPr="00E76E16" w:rsidRDefault="008F2797" w:rsidP="00E906D8">
            <w:pPr>
              <w:jc w:val="center"/>
              <w:rPr>
                <w:rFonts w:ascii="Arial" w:hAnsi="Arial" w:cs="Arial"/>
                <w:color w:val="000000"/>
              </w:rPr>
            </w:pPr>
            <w:r w:rsidRPr="00E76E16">
              <w:rPr>
                <w:rFonts w:ascii="Arial" w:hAnsi="Arial" w:cs="Arial"/>
                <w:color w:val="000000"/>
              </w:rPr>
              <w:t>114</w:t>
            </w:r>
          </w:p>
        </w:tc>
      </w:tr>
    </w:tbl>
    <w:p w14:paraId="0DA97545" w14:textId="11835821" w:rsidR="008F2797" w:rsidRDefault="008F2797" w:rsidP="008F2797">
      <w:pPr>
        <w:autoSpaceDE w:val="0"/>
        <w:autoSpaceDN w:val="0"/>
        <w:adjustRightInd w:val="0"/>
        <w:spacing w:line="276" w:lineRule="auto"/>
        <w:jc w:val="both"/>
        <w:rPr>
          <w:rFonts w:ascii="ArialMT" w:hAnsi="ArialMT" w:cs="ArialMT"/>
          <w:color w:val="000000"/>
        </w:rPr>
      </w:pPr>
    </w:p>
    <w:p w14:paraId="76D8A46E" w14:textId="77777777" w:rsidR="008F2797" w:rsidRDefault="008F2797">
      <w:pPr>
        <w:rPr>
          <w:rFonts w:ascii="ArialMT" w:hAnsi="ArialMT" w:cs="ArialMT"/>
          <w:color w:val="000000"/>
        </w:rPr>
      </w:pPr>
      <w:r>
        <w:rPr>
          <w:rFonts w:ascii="ArialMT" w:hAnsi="ArialMT" w:cs="ArialMT"/>
          <w:color w:val="000000"/>
        </w:rPr>
        <w:br w:type="page"/>
      </w:r>
    </w:p>
    <w:p w14:paraId="5400A7A5" w14:textId="262B4DD8" w:rsidR="008F2797" w:rsidRDefault="008F2797" w:rsidP="008F2797">
      <w:pPr>
        <w:autoSpaceDE w:val="0"/>
        <w:autoSpaceDN w:val="0"/>
        <w:adjustRightInd w:val="0"/>
        <w:spacing w:line="276" w:lineRule="auto"/>
        <w:jc w:val="both"/>
        <w:rPr>
          <w:rFonts w:ascii="ArialMT" w:hAnsi="ArialMT" w:cs="ArialMT"/>
        </w:rPr>
      </w:pPr>
      <w:r>
        <w:rPr>
          <w:rFonts w:ascii="ArialMT" w:hAnsi="ArialMT" w:cs="ArialMT"/>
        </w:rPr>
        <w:lastRenderedPageBreak/>
        <w:t xml:space="preserve">K bodu č. 8 </w:t>
      </w:r>
      <w:r>
        <w:rPr>
          <w:rFonts w:ascii="ArialMT" w:hAnsi="ArialMT" w:cs="ArialMT"/>
        </w:rPr>
        <w:t xml:space="preserve">je uveden </w:t>
      </w:r>
      <w:r>
        <w:rPr>
          <w:rFonts w:ascii="ArialMT" w:hAnsi="ArialMT" w:cs="ArialMT"/>
        </w:rPr>
        <w:t>celkový počet odvolání proti rozhodnutí o uložení pořádkové pokuty, opět bez vazby na § 57 daňového řádu, potažmo výsledek odvolacího řízení:</w:t>
      </w:r>
    </w:p>
    <w:tbl>
      <w:tblPr>
        <w:tblW w:w="8782" w:type="dxa"/>
        <w:tblInd w:w="-3" w:type="dxa"/>
        <w:tblCellMar>
          <w:left w:w="0" w:type="dxa"/>
          <w:right w:w="0" w:type="dxa"/>
        </w:tblCellMar>
        <w:tblLook w:val="04A0" w:firstRow="1" w:lastRow="0" w:firstColumn="1" w:lastColumn="0" w:noHBand="0" w:noVBand="1"/>
      </w:tblPr>
      <w:tblGrid>
        <w:gridCol w:w="2687"/>
        <w:gridCol w:w="6095"/>
      </w:tblGrid>
      <w:tr w:rsidR="008F2797" w:rsidRPr="00E76E16" w14:paraId="40ED8BD6" w14:textId="77777777" w:rsidTr="00E906D8">
        <w:trPr>
          <w:trHeight w:val="461"/>
        </w:trPr>
        <w:tc>
          <w:tcPr>
            <w:tcW w:w="26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E108178" w14:textId="77777777" w:rsidR="008F2797" w:rsidRPr="00E76E16" w:rsidRDefault="008F2797" w:rsidP="00E906D8">
            <w:pPr>
              <w:jc w:val="center"/>
              <w:rPr>
                <w:rFonts w:ascii="Arial" w:hAnsi="Arial" w:cs="Arial"/>
                <w:b/>
                <w:bCs/>
                <w:color w:val="000000"/>
                <w:lang w:eastAsia="cs-CZ"/>
              </w:rPr>
            </w:pPr>
            <w:r w:rsidRPr="00E76E16">
              <w:rPr>
                <w:rFonts w:ascii="Arial" w:hAnsi="Arial" w:cs="Arial"/>
                <w:b/>
                <w:bCs/>
                <w:color w:val="000000"/>
              </w:rPr>
              <w:t>rok</w:t>
            </w:r>
          </w:p>
        </w:tc>
        <w:tc>
          <w:tcPr>
            <w:tcW w:w="60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A43AA6A"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Počty odvolání proti pořádkovým pokutám</w:t>
            </w:r>
          </w:p>
        </w:tc>
      </w:tr>
      <w:tr w:rsidR="008F2797" w:rsidRPr="00E76E16" w14:paraId="46899FE9"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1A56B9"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2013</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317DEA13" w14:textId="77777777" w:rsidR="008F2797" w:rsidRPr="00E76E16" w:rsidRDefault="008F2797" w:rsidP="00E906D8">
            <w:pPr>
              <w:jc w:val="center"/>
              <w:rPr>
                <w:rFonts w:ascii="Arial" w:hAnsi="Arial" w:cs="Arial"/>
                <w:color w:val="000000"/>
              </w:rPr>
            </w:pPr>
            <w:r w:rsidRPr="00E76E16">
              <w:rPr>
                <w:rFonts w:ascii="Arial" w:hAnsi="Arial" w:cs="Arial"/>
                <w:color w:val="000000"/>
              </w:rPr>
              <w:t>2</w:t>
            </w:r>
          </w:p>
        </w:tc>
      </w:tr>
      <w:tr w:rsidR="008F2797" w:rsidRPr="00E76E16" w14:paraId="17CD1AF2"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C892A6"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2014</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31AEBE73" w14:textId="77777777" w:rsidR="008F2797" w:rsidRPr="00E76E16" w:rsidRDefault="008F2797" w:rsidP="00E906D8">
            <w:pPr>
              <w:jc w:val="center"/>
              <w:rPr>
                <w:rFonts w:ascii="Arial" w:hAnsi="Arial" w:cs="Arial"/>
                <w:color w:val="000000"/>
              </w:rPr>
            </w:pPr>
            <w:r w:rsidRPr="00E76E16">
              <w:rPr>
                <w:rFonts w:ascii="Arial" w:hAnsi="Arial" w:cs="Arial"/>
                <w:color w:val="000000"/>
              </w:rPr>
              <w:t>8</w:t>
            </w:r>
          </w:p>
        </w:tc>
      </w:tr>
      <w:tr w:rsidR="008F2797" w:rsidRPr="00E76E16" w14:paraId="184D63DD"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8F6F3C"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2015</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3AB28EA" w14:textId="77777777" w:rsidR="008F2797" w:rsidRPr="00E76E16" w:rsidRDefault="008F2797" w:rsidP="00E906D8">
            <w:pPr>
              <w:jc w:val="center"/>
              <w:rPr>
                <w:rFonts w:ascii="Arial" w:hAnsi="Arial" w:cs="Arial"/>
                <w:color w:val="000000"/>
              </w:rPr>
            </w:pPr>
            <w:r w:rsidRPr="00E76E16">
              <w:rPr>
                <w:rFonts w:ascii="Arial" w:hAnsi="Arial" w:cs="Arial"/>
                <w:color w:val="000000"/>
              </w:rPr>
              <w:t>10</w:t>
            </w:r>
          </w:p>
        </w:tc>
      </w:tr>
      <w:tr w:rsidR="008F2797" w:rsidRPr="00E76E16" w14:paraId="12A6595D"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BFCDA5E"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2016</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5E52341E" w14:textId="77777777" w:rsidR="008F2797" w:rsidRPr="00E76E16" w:rsidRDefault="008F2797" w:rsidP="00E906D8">
            <w:pPr>
              <w:jc w:val="center"/>
              <w:rPr>
                <w:rFonts w:ascii="Arial" w:hAnsi="Arial" w:cs="Arial"/>
                <w:color w:val="000000"/>
              </w:rPr>
            </w:pPr>
            <w:r w:rsidRPr="00E76E16">
              <w:rPr>
                <w:rFonts w:ascii="Arial" w:hAnsi="Arial" w:cs="Arial"/>
                <w:color w:val="000000"/>
              </w:rPr>
              <w:t>13</w:t>
            </w:r>
          </w:p>
        </w:tc>
      </w:tr>
      <w:tr w:rsidR="008F2797" w:rsidRPr="00E76E16" w14:paraId="6A86C0BF"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BEFEEF"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2017</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446C880" w14:textId="77777777" w:rsidR="008F2797" w:rsidRPr="00E76E16" w:rsidRDefault="008F2797" w:rsidP="00E906D8">
            <w:pPr>
              <w:jc w:val="center"/>
              <w:rPr>
                <w:rFonts w:ascii="Arial" w:hAnsi="Arial" w:cs="Arial"/>
                <w:color w:val="000000"/>
              </w:rPr>
            </w:pPr>
            <w:r w:rsidRPr="00E76E16">
              <w:rPr>
                <w:rFonts w:ascii="Arial" w:hAnsi="Arial" w:cs="Arial"/>
                <w:color w:val="000000"/>
              </w:rPr>
              <w:t>8</w:t>
            </w:r>
          </w:p>
        </w:tc>
      </w:tr>
      <w:tr w:rsidR="008F2797" w:rsidRPr="00E76E16" w14:paraId="629041B4"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9D4EF4"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2018</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03EAD23E" w14:textId="77777777" w:rsidR="008F2797" w:rsidRPr="00E76E16" w:rsidRDefault="008F2797" w:rsidP="00E906D8">
            <w:pPr>
              <w:jc w:val="center"/>
              <w:rPr>
                <w:rFonts w:ascii="Arial" w:hAnsi="Arial" w:cs="Arial"/>
                <w:color w:val="000000"/>
              </w:rPr>
            </w:pPr>
            <w:r w:rsidRPr="00E76E16">
              <w:rPr>
                <w:rFonts w:ascii="Arial" w:hAnsi="Arial" w:cs="Arial"/>
                <w:color w:val="000000"/>
              </w:rPr>
              <w:t>5</w:t>
            </w:r>
          </w:p>
        </w:tc>
      </w:tr>
      <w:tr w:rsidR="008F2797" w:rsidRPr="00E76E16" w14:paraId="3E345291"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358489"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2019</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72A560F" w14:textId="77777777" w:rsidR="008F2797" w:rsidRPr="00E76E16" w:rsidRDefault="008F2797" w:rsidP="00E906D8">
            <w:pPr>
              <w:jc w:val="center"/>
              <w:rPr>
                <w:rFonts w:ascii="Arial" w:hAnsi="Arial" w:cs="Arial"/>
                <w:color w:val="000000"/>
              </w:rPr>
            </w:pPr>
            <w:r w:rsidRPr="00E76E16">
              <w:rPr>
                <w:rFonts w:ascii="Arial" w:hAnsi="Arial" w:cs="Arial"/>
                <w:color w:val="000000"/>
              </w:rPr>
              <w:t>3</w:t>
            </w:r>
          </w:p>
        </w:tc>
      </w:tr>
      <w:tr w:rsidR="008F2797" w:rsidRPr="00E76E16" w14:paraId="0B9B036D"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506BB3"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2020</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4040A8DD" w14:textId="77777777" w:rsidR="008F2797" w:rsidRPr="00E76E16" w:rsidRDefault="008F2797" w:rsidP="00E906D8">
            <w:pPr>
              <w:jc w:val="center"/>
              <w:rPr>
                <w:rFonts w:ascii="Arial" w:hAnsi="Arial" w:cs="Arial"/>
                <w:color w:val="000000"/>
              </w:rPr>
            </w:pPr>
            <w:r w:rsidRPr="00E76E16">
              <w:rPr>
                <w:rFonts w:ascii="Arial" w:hAnsi="Arial" w:cs="Arial"/>
                <w:color w:val="000000"/>
              </w:rPr>
              <w:t>5</w:t>
            </w:r>
          </w:p>
        </w:tc>
      </w:tr>
      <w:tr w:rsidR="008F2797" w:rsidRPr="00E76E16" w14:paraId="53CB0525"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DF179B"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2021</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0D997931" w14:textId="77777777" w:rsidR="008F2797" w:rsidRPr="00E76E16" w:rsidRDefault="008F2797" w:rsidP="00E906D8">
            <w:pPr>
              <w:jc w:val="center"/>
              <w:rPr>
                <w:rFonts w:ascii="Arial" w:hAnsi="Arial" w:cs="Arial"/>
                <w:color w:val="000000"/>
              </w:rPr>
            </w:pPr>
            <w:r w:rsidRPr="00E76E16">
              <w:rPr>
                <w:rFonts w:ascii="Arial" w:hAnsi="Arial" w:cs="Arial"/>
                <w:color w:val="000000"/>
              </w:rPr>
              <w:t>9</w:t>
            </w:r>
          </w:p>
        </w:tc>
      </w:tr>
      <w:tr w:rsidR="008F2797" w:rsidRPr="00E76E16" w14:paraId="7641122A"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914D0F"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2022</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17461284" w14:textId="77777777" w:rsidR="008F2797" w:rsidRPr="00E76E16" w:rsidRDefault="008F2797" w:rsidP="00E906D8">
            <w:pPr>
              <w:jc w:val="center"/>
              <w:rPr>
                <w:rFonts w:ascii="Arial" w:hAnsi="Arial" w:cs="Arial"/>
                <w:color w:val="000000"/>
              </w:rPr>
            </w:pPr>
            <w:r w:rsidRPr="00E76E16">
              <w:rPr>
                <w:rFonts w:ascii="Arial" w:hAnsi="Arial" w:cs="Arial"/>
                <w:color w:val="000000"/>
              </w:rPr>
              <w:t>15</w:t>
            </w:r>
          </w:p>
        </w:tc>
      </w:tr>
      <w:tr w:rsidR="008F2797" w:rsidRPr="00E76E16" w14:paraId="44078938" w14:textId="77777777" w:rsidTr="00E906D8">
        <w:trPr>
          <w:trHeight w:val="317"/>
        </w:trPr>
        <w:tc>
          <w:tcPr>
            <w:tcW w:w="2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62C8A6" w14:textId="77777777" w:rsidR="008F2797" w:rsidRPr="00E76E16" w:rsidRDefault="008F2797" w:rsidP="00E906D8">
            <w:pPr>
              <w:jc w:val="center"/>
              <w:rPr>
                <w:rFonts w:ascii="Arial" w:hAnsi="Arial" w:cs="Arial"/>
                <w:b/>
                <w:bCs/>
                <w:color w:val="000000"/>
              </w:rPr>
            </w:pPr>
            <w:r w:rsidRPr="00E76E16">
              <w:rPr>
                <w:rFonts w:ascii="Arial" w:hAnsi="Arial" w:cs="Arial"/>
                <w:b/>
                <w:bCs/>
                <w:color w:val="000000"/>
              </w:rPr>
              <w:t>2023</w:t>
            </w:r>
          </w:p>
        </w:tc>
        <w:tc>
          <w:tcPr>
            <w:tcW w:w="6095"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14:paraId="1DB857A8" w14:textId="77777777" w:rsidR="008F2797" w:rsidRPr="00E76E16" w:rsidRDefault="008F2797" w:rsidP="00E906D8">
            <w:pPr>
              <w:jc w:val="center"/>
              <w:rPr>
                <w:rFonts w:ascii="Arial" w:hAnsi="Arial" w:cs="Arial"/>
                <w:color w:val="000000"/>
              </w:rPr>
            </w:pPr>
            <w:r w:rsidRPr="00E76E16">
              <w:rPr>
                <w:rFonts w:ascii="Arial" w:hAnsi="Arial" w:cs="Arial"/>
                <w:color w:val="000000"/>
              </w:rPr>
              <w:t>7</w:t>
            </w:r>
          </w:p>
        </w:tc>
      </w:tr>
    </w:tbl>
    <w:p w14:paraId="7028043B" w14:textId="77777777" w:rsidR="008F2797" w:rsidRPr="00E76E16" w:rsidRDefault="008F2797" w:rsidP="008F2797">
      <w:pPr>
        <w:pStyle w:val="Zkladntext"/>
        <w:tabs>
          <w:tab w:val="left" w:pos="1680"/>
        </w:tabs>
        <w:kinsoku w:val="0"/>
        <w:overflowPunct w:val="0"/>
        <w:spacing w:before="0" w:line="276" w:lineRule="auto"/>
        <w:ind w:left="0" w:firstLine="0"/>
        <w:jc w:val="center"/>
        <w:rPr>
          <w:sz w:val="22"/>
          <w:szCs w:val="22"/>
        </w:rPr>
      </w:pPr>
    </w:p>
    <w:p w14:paraId="4A3731EF" w14:textId="77777777" w:rsidR="008F2797" w:rsidRPr="00E76E16" w:rsidRDefault="008F2797" w:rsidP="008F2797">
      <w:pPr>
        <w:pStyle w:val="Zkladntext"/>
        <w:tabs>
          <w:tab w:val="left" w:pos="1680"/>
        </w:tabs>
        <w:kinsoku w:val="0"/>
        <w:overflowPunct w:val="0"/>
        <w:spacing w:before="0" w:line="276" w:lineRule="auto"/>
        <w:ind w:left="0" w:firstLine="0"/>
        <w:jc w:val="both"/>
        <w:rPr>
          <w:sz w:val="22"/>
          <w:szCs w:val="22"/>
        </w:rPr>
      </w:pPr>
    </w:p>
    <w:p w14:paraId="2BED4204" w14:textId="77777777" w:rsidR="008F2797" w:rsidRPr="00226284" w:rsidRDefault="008F2797" w:rsidP="008F2797">
      <w:pPr>
        <w:autoSpaceDE w:val="0"/>
        <w:autoSpaceDN w:val="0"/>
        <w:adjustRightInd w:val="0"/>
        <w:spacing w:line="276" w:lineRule="auto"/>
        <w:jc w:val="both"/>
        <w:rPr>
          <w:rFonts w:ascii="ArialMT" w:hAnsi="ArialMT" w:cs="ArialMT"/>
          <w:color w:val="000000"/>
        </w:rPr>
      </w:pPr>
    </w:p>
    <w:sectPr w:rsidR="008F2797" w:rsidRPr="00226284" w:rsidSect="008F279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84"/>
    <w:rsid w:val="001E1838"/>
    <w:rsid w:val="00226284"/>
    <w:rsid w:val="008F2797"/>
    <w:rsid w:val="00981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7E78"/>
  <w15:chartTrackingRefBased/>
  <w15:docId w15:val="{A4414F20-430C-4234-AB6E-2C13BDD6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62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26284"/>
    <w:rPr>
      <w:color w:val="0000FF"/>
      <w:u w:val="single"/>
    </w:rPr>
  </w:style>
  <w:style w:type="character" w:styleId="Sledovanodkaz">
    <w:name w:val="FollowedHyperlink"/>
    <w:basedOn w:val="Standardnpsmoodstavce"/>
    <w:uiPriority w:val="99"/>
    <w:semiHidden/>
    <w:unhideWhenUsed/>
    <w:rsid w:val="00226284"/>
    <w:rPr>
      <w:color w:val="954F72" w:themeColor="followedHyperlink"/>
      <w:u w:val="single"/>
    </w:rPr>
  </w:style>
  <w:style w:type="paragraph" w:styleId="Zkladntext">
    <w:name w:val="Body Text"/>
    <w:basedOn w:val="Normln"/>
    <w:link w:val="ZkladntextChar"/>
    <w:uiPriority w:val="1"/>
    <w:qFormat/>
    <w:rsid w:val="008F2797"/>
    <w:pPr>
      <w:widowControl w:val="0"/>
      <w:autoSpaceDE w:val="0"/>
      <w:autoSpaceDN w:val="0"/>
      <w:adjustRightInd w:val="0"/>
      <w:spacing w:before="45" w:after="0" w:line="240" w:lineRule="auto"/>
      <w:ind w:left="1679" w:hanging="363"/>
    </w:pPr>
    <w:rPr>
      <w:rFonts w:ascii="Arial" w:eastAsiaTheme="minorEastAsia" w:hAnsi="Arial" w:cs="Arial"/>
      <w:sz w:val="21"/>
      <w:szCs w:val="21"/>
      <w:lang w:eastAsia="cs-CZ"/>
    </w:rPr>
  </w:style>
  <w:style w:type="character" w:customStyle="1" w:styleId="ZkladntextChar">
    <w:name w:val="Základní text Char"/>
    <w:basedOn w:val="Standardnpsmoodstavce"/>
    <w:link w:val="Zkladntext"/>
    <w:uiPriority w:val="1"/>
    <w:rsid w:val="008F2797"/>
    <w:rPr>
      <w:rFonts w:ascii="Arial" w:eastAsiaTheme="minorEastAsia" w:hAnsi="Arial" w:cs="Arial"/>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nancnisprava.cz/cs/dane/danovy-proces/metodika/metodik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903</Words>
  <Characters>5334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2024-01-09T09:12:00Z</dcterms:created>
  <dcterms:modified xsi:type="dcterms:W3CDTF">2024-01-09T09:41:00Z</dcterms:modified>
</cp:coreProperties>
</file>