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0438" w14:textId="1E944BFE" w:rsidR="00775403" w:rsidRPr="00F217A0" w:rsidRDefault="00775403" w:rsidP="00775403">
      <w:pPr>
        <w:spacing w:after="100" w:afterAutospacing="1"/>
        <w:jc w:val="both"/>
        <w:rPr>
          <w:rFonts w:ascii="Arial" w:hAnsi="Arial" w:cs="Arial"/>
          <w:b/>
          <w:sz w:val="24"/>
          <w:szCs w:val="24"/>
          <w:u w:val="single"/>
        </w:rPr>
      </w:pPr>
      <w:bookmarkStart w:id="0" w:name="_Hlk120773718"/>
      <w:bookmarkEnd w:id="0"/>
      <w:r w:rsidRPr="00F217A0">
        <w:rPr>
          <w:rFonts w:ascii="Arial" w:hAnsi="Arial" w:cs="Arial"/>
          <w:b/>
          <w:sz w:val="24"/>
          <w:szCs w:val="24"/>
          <w:u w:val="single"/>
        </w:rPr>
        <w:t xml:space="preserve">Poskytnutá informace GFŘ podle zákona o svobodném přístupu k informacím </w:t>
      </w:r>
      <w:r>
        <w:rPr>
          <w:rFonts w:ascii="Arial" w:hAnsi="Arial" w:cs="Arial"/>
          <w:b/>
          <w:sz w:val="24"/>
          <w:szCs w:val="24"/>
          <w:u w:val="single"/>
        </w:rPr>
        <w:t>7</w:t>
      </w:r>
      <w:r>
        <w:rPr>
          <w:rFonts w:ascii="Arial" w:hAnsi="Arial" w:cs="Arial"/>
          <w:b/>
          <w:sz w:val="24"/>
          <w:szCs w:val="24"/>
          <w:u w:val="single"/>
        </w:rPr>
        <w:t>6</w:t>
      </w:r>
      <w:r w:rsidRPr="00F217A0">
        <w:rPr>
          <w:rFonts w:ascii="Arial" w:hAnsi="Arial" w:cs="Arial"/>
          <w:b/>
          <w:sz w:val="24"/>
          <w:szCs w:val="24"/>
          <w:u w:val="single"/>
        </w:rPr>
        <w:t>/2023</w:t>
      </w:r>
    </w:p>
    <w:p w14:paraId="0AA3B2DC" w14:textId="77777777" w:rsidR="00775403" w:rsidRPr="00F217A0" w:rsidRDefault="00775403" w:rsidP="008C6FCA">
      <w:pPr>
        <w:jc w:val="both"/>
        <w:rPr>
          <w:rFonts w:ascii="Arial" w:hAnsi="Arial" w:cs="Arial"/>
          <w:b/>
          <w:u w:val="single"/>
        </w:rPr>
      </w:pPr>
      <w:r w:rsidRPr="00F217A0">
        <w:rPr>
          <w:rFonts w:ascii="Arial" w:hAnsi="Arial" w:cs="Arial"/>
          <w:b/>
          <w:u w:val="single"/>
        </w:rPr>
        <w:t xml:space="preserve">Dotaz: </w:t>
      </w:r>
    </w:p>
    <w:p w14:paraId="5FAB01FB"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1) Doložte, v jakém zákoně je uvedeno, že jednak úřední osoba je i daňový exekutor a zároveň, že má stejné pravomoci jako soudní exekutor a soudce, když může vydávat pravomocná rozhodnutí, vydávat exekuční tituly a exekuční příkazy. </w:t>
      </w:r>
    </w:p>
    <w:p w14:paraId="3E77DBAA"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2) Vysvětlete, proč nelze uplatnit opravné prostředky proti exekučnímu příkazu, jak se píše v 208/2009 Sb. Každý má právo na uplatnění opravného prostředku, jakožto jedno z přirozených práv, a pokud ne, je to diskriminace se znaky otroctví. </w:t>
      </w:r>
    </w:p>
    <w:p w14:paraId="1732EEAA"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3) Vysvětlete přesný význam pojmů a doložte zdroj:</w:t>
      </w:r>
    </w:p>
    <w:p w14:paraId="17FAA46F" w14:textId="695DC3A9"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daňový rezident</w:t>
      </w:r>
    </w:p>
    <w:p w14:paraId="05830467" w14:textId="5235219B"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daňový subjekt</w:t>
      </w:r>
    </w:p>
    <w:p w14:paraId="0E4CA13D" w14:textId="5B57078E"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poplatník</w:t>
      </w:r>
    </w:p>
    <w:p w14:paraId="2CD24F05" w14:textId="34C9C108"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plátce daně</w:t>
      </w:r>
    </w:p>
    <w:p w14:paraId="1B2E2C97" w14:textId="3AFF1FB5" w:rsidR="008905CA" w:rsidRPr="008905CA" w:rsidRDefault="008905CA" w:rsidP="008C6FCA">
      <w:pPr>
        <w:pStyle w:val="Normlnweb"/>
        <w:numPr>
          <w:ilvl w:val="0"/>
          <w:numId w:val="3"/>
        </w:numPr>
        <w:spacing w:before="0" w:beforeAutospacing="0" w:after="240" w:afterAutospacing="0" w:line="276" w:lineRule="auto"/>
        <w:rPr>
          <w:rFonts w:ascii="Arial" w:hAnsi="Arial" w:cs="Arial"/>
        </w:rPr>
      </w:pPr>
      <w:r w:rsidRPr="008905CA">
        <w:rPr>
          <w:rFonts w:ascii="Arial" w:hAnsi="Arial" w:cs="Arial"/>
        </w:rPr>
        <w:t>fyzická osoba</w:t>
      </w:r>
    </w:p>
    <w:p w14:paraId="5571520E"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Který z těchto jmenovaných je člověkem, jakožto nejvyspělejší živou lidskou bytostí se schopností myšlení a řeči, dle výkladového slovníku spisovné češtiny Ústavu pro jazyk český a podložte své tvrzení důkazem. </w:t>
      </w:r>
    </w:p>
    <w:p w14:paraId="7765BB93"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4) Jaký právní předpis a konkrétní paragrafy upravují smluvní vztah mezi správcem daně a daňovým subjektem?</w:t>
      </w:r>
    </w:p>
    <w:p w14:paraId="14D9E41A"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5) Je pravda, že prostředky, vydělané prací pro své životní potřeby čl. 26 odst. 3 Základní listiny práv a svobod, jsou soukromým majetkem člověka? ANO/NE </w:t>
      </w:r>
    </w:p>
    <w:p w14:paraId="3EBC7094" w14:textId="31A3E97E"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Pokud ANO, doložte zákon, který ukládá povinnost takovéto prostředky člověka, ne osoby, zdanit.</w:t>
      </w:r>
      <w:r>
        <w:rPr>
          <w:rFonts w:ascii="Arial" w:hAnsi="Arial" w:cs="Arial"/>
        </w:rPr>
        <w:t xml:space="preserve"> </w:t>
      </w:r>
      <w:r w:rsidRPr="008905CA">
        <w:rPr>
          <w:rFonts w:ascii="Arial" w:hAnsi="Arial" w:cs="Arial"/>
        </w:rPr>
        <w:t>Pokud NE, doložte důkaz, proč ne.</w:t>
      </w:r>
    </w:p>
    <w:p w14:paraId="1C2F341A"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6) V 280/2009 Sb. § 2 odst. 3 se píše, že daní se pro účely tohoto zákona rozumí peněžité plnění. Pojem „rozumí se“ není fakt, že daň je peněžité plnění. Dle výkladového slovníku spisovné češtiny Ústavu pro jazyk český je slovo daň příspěvek, který je obecně chápan jako dobrovolný, tedy na rozhodnutí každého. Doložte právní předpis s přesnou definicí slova daň.</w:t>
      </w:r>
    </w:p>
    <w:p w14:paraId="2EFBA73C"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7) Vysvětlete, proč na katastru je u všech adres údajných finančních úřadů pro Moravskoslezský kraj uvedena příslušnost hospodařit s majetkem státu pouze Generální finanční ředitelství.</w:t>
      </w:r>
    </w:p>
    <w:p w14:paraId="074B651E"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8) Kolik zaměstnanců zaměstnávala celá finanční správa k datu 30. 9. 2023 a jaký byl průměrný plat na zaměstnance. Doložte odkaz, kde je možné si tyto informace ověřit. </w:t>
      </w:r>
    </w:p>
    <w:p w14:paraId="7272EBD7"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 xml:space="preserve">9) Kolik vybrala finanční správa za uzavřené daňové </w:t>
      </w:r>
      <w:proofErr w:type="gramStart"/>
      <w:r w:rsidRPr="008905CA">
        <w:rPr>
          <w:rFonts w:ascii="Arial" w:hAnsi="Arial" w:cs="Arial"/>
        </w:rPr>
        <w:t>období</w:t>
      </w:r>
      <w:proofErr w:type="gramEnd"/>
      <w:r w:rsidRPr="008905CA">
        <w:rPr>
          <w:rFonts w:ascii="Arial" w:hAnsi="Arial" w:cs="Arial"/>
        </w:rPr>
        <w:t xml:space="preserve"> a to buď za rok 2022, nebo za rok 2021 </w:t>
      </w:r>
    </w:p>
    <w:p w14:paraId="3DCE7CEF" w14:textId="33803AC0"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na daních z příjmů</w:t>
      </w:r>
    </w:p>
    <w:p w14:paraId="359BB0F8" w14:textId="595AAE24"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na daních z nemovitostí</w:t>
      </w:r>
    </w:p>
    <w:p w14:paraId="30E0F342" w14:textId="06D7857B"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na silniční dani </w:t>
      </w:r>
    </w:p>
    <w:p w14:paraId="40E10AA9" w14:textId="15287077" w:rsidR="008905CA" w:rsidRPr="008905CA" w:rsidRDefault="008905CA" w:rsidP="008C6FCA">
      <w:pPr>
        <w:pStyle w:val="Normlnweb"/>
        <w:numPr>
          <w:ilvl w:val="0"/>
          <w:numId w:val="3"/>
        </w:numPr>
        <w:spacing w:before="0" w:beforeAutospacing="0" w:after="0" w:afterAutospacing="0" w:line="276" w:lineRule="auto"/>
        <w:rPr>
          <w:rFonts w:ascii="Arial" w:hAnsi="Arial" w:cs="Arial"/>
        </w:rPr>
      </w:pPr>
      <w:r w:rsidRPr="008905CA">
        <w:rPr>
          <w:rFonts w:ascii="Arial" w:hAnsi="Arial" w:cs="Arial"/>
        </w:rPr>
        <w:t>za clo</w:t>
      </w:r>
    </w:p>
    <w:p w14:paraId="1462CD83" w14:textId="4B6F4239" w:rsidR="008905CA" w:rsidRPr="008905CA" w:rsidRDefault="008905CA" w:rsidP="008C6FCA">
      <w:pPr>
        <w:pStyle w:val="Normlnweb"/>
        <w:numPr>
          <w:ilvl w:val="0"/>
          <w:numId w:val="3"/>
        </w:numPr>
        <w:spacing w:before="0" w:beforeAutospacing="0" w:after="160" w:afterAutospacing="0" w:line="276" w:lineRule="auto"/>
        <w:rPr>
          <w:rFonts w:ascii="Arial" w:hAnsi="Arial" w:cs="Arial"/>
        </w:rPr>
      </w:pPr>
      <w:r w:rsidRPr="008905CA">
        <w:rPr>
          <w:rFonts w:ascii="Arial" w:hAnsi="Arial" w:cs="Arial"/>
        </w:rPr>
        <w:t>na dani z přidané hodnoty</w:t>
      </w:r>
    </w:p>
    <w:p w14:paraId="2D72E572"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lastRenderedPageBreak/>
        <w:t>A uveďte vybraný rok.</w:t>
      </w:r>
    </w:p>
    <w:p w14:paraId="2BD90B80"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10) Je pravda, že každý, kdo podniká, se musí registrovat u finančního úřadu? ANO/NE</w:t>
      </w:r>
    </w:p>
    <w:p w14:paraId="409AF31C"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Pokud ANO, doložte přesnou definici ze zákona.</w:t>
      </w:r>
    </w:p>
    <w:p w14:paraId="136D4933"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11)  Je pravda, že registrace u finančního úřadu je jednostranný smluvní vztah? ANO/NE</w:t>
      </w:r>
    </w:p>
    <w:p w14:paraId="629DDCB4"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Pokud ANO, doložte přesnou definici ze zákona.</w:t>
      </w:r>
    </w:p>
    <w:p w14:paraId="5D28C18D"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12) V zákoně 586/1992 Sb. § 3 odst. 3 písm. b 2) se používá termín „života člověka“. Doložte, jaký je rozdíl mezi významem „život člověka“ a „život fyzické osoby“. V případě nedoložení rozdílu potvrdíte, že člověk a fyzická osoba jsou rozdílného významu.</w:t>
      </w:r>
    </w:p>
    <w:p w14:paraId="7F962818" w14:textId="77777777" w:rsidR="008905CA" w:rsidRPr="008905CA" w:rsidRDefault="008905CA" w:rsidP="008C6FCA">
      <w:pPr>
        <w:pStyle w:val="Normlnweb"/>
        <w:spacing w:before="0" w:beforeAutospacing="0" w:after="160" w:afterAutospacing="0" w:line="276" w:lineRule="auto"/>
        <w:rPr>
          <w:rFonts w:ascii="Arial" w:hAnsi="Arial" w:cs="Arial"/>
        </w:rPr>
      </w:pPr>
      <w:r w:rsidRPr="008905CA">
        <w:rPr>
          <w:rFonts w:ascii="Arial" w:hAnsi="Arial" w:cs="Arial"/>
        </w:rPr>
        <w:t>13) Kdo je skutečným zaměstnavatelem zaměstnanců finančních úřadů? Myšleno, s kým mají podepsanou pracovní smlouvu.</w:t>
      </w:r>
    </w:p>
    <w:p w14:paraId="10BB603B" w14:textId="77777777" w:rsidR="00775403" w:rsidRPr="00F217A0" w:rsidRDefault="00775403" w:rsidP="00775403">
      <w:pPr>
        <w:jc w:val="both"/>
        <w:rPr>
          <w:rFonts w:ascii="Arial" w:hAnsi="Arial" w:cs="Arial"/>
          <w:b/>
          <w:u w:val="single"/>
        </w:rPr>
      </w:pPr>
      <w:r w:rsidRPr="00F217A0">
        <w:rPr>
          <w:rFonts w:ascii="Arial" w:hAnsi="Arial" w:cs="Arial"/>
          <w:b/>
          <w:u w:val="single"/>
        </w:rPr>
        <w:t xml:space="preserve">Odpověď: </w:t>
      </w:r>
    </w:p>
    <w:p w14:paraId="394F5B3D" w14:textId="39BA231E" w:rsidR="008C6FCA" w:rsidRPr="008C6FCA" w:rsidRDefault="008C6FCA" w:rsidP="008C6FCA">
      <w:pPr>
        <w:autoSpaceDE w:val="0"/>
        <w:autoSpaceDN w:val="0"/>
        <w:adjustRightInd w:val="0"/>
        <w:spacing w:line="276" w:lineRule="auto"/>
        <w:jc w:val="both"/>
        <w:rPr>
          <w:rFonts w:ascii="Arial" w:hAnsi="Arial" w:cs="Arial"/>
          <w:color w:val="000000"/>
        </w:rPr>
      </w:pPr>
      <w:r w:rsidRPr="008C6FCA">
        <w:rPr>
          <w:rFonts w:ascii="Arial" w:hAnsi="Arial" w:cs="Arial"/>
        </w:rPr>
        <w:t>K </w:t>
      </w:r>
      <w:r w:rsidRPr="008C6FCA">
        <w:rPr>
          <w:rFonts w:ascii="Arial" w:hAnsi="Arial" w:cs="Arial"/>
          <w:color w:val="000000"/>
        </w:rPr>
        <w:t xml:space="preserve">dotazům č. 1 až 7 a 10 až 12 Vás ve smyslu § 6 odst. 1 InfZ odkazujeme na zveřejněnou informaci č. 19/2023, dostupnou na tomto odkaze: </w:t>
      </w:r>
      <w:hyperlink r:id="rId5" w:history="1">
        <w:r w:rsidRPr="008C6FCA">
          <w:rPr>
            <w:rStyle w:val="Hypertextovodkaz"/>
            <w:rFonts w:ascii="Arial" w:hAnsi="Arial" w:cs="Arial"/>
          </w:rPr>
          <w:t>2023 | Poskytnuté informace dle zákona 106/1999Sb. | Generální finanční ředitelství | O nás | Finanční správa (financnisprava.cz)</w:t>
        </w:r>
      </w:hyperlink>
      <w:r w:rsidRPr="008C6FCA">
        <w:rPr>
          <w:rFonts w:ascii="Arial" w:hAnsi="Arial" w:cs="Arial"/>
          <w:color w:val="000000"/>
        </w:rPr>
        <w:t xml:space="preserve">, dále na zákon č. 456/2011 Sb., o Finanční správě České republiky, ve znění pozdějších předpisů, dostupný např. zde: </w:t>
      </w:r>
      <w:hyperlink r:id="rId6" w:history="1">
        <w:r w:rsidRPr="008C6FCA">
          <w:rPr>
            <w:rStyle w:val="Hypertextovodkaz"/>
            <w:rFonts w:ascii="Arial" w:hAnsi="Arial" w:cs="Arial"/>
          </w:rPr>
          <w:t>456/2011 Sb. Zákon o Finanční správě České republiky (zakonyprolidi.cz)</w:t>
        </w:r>
      </w:hyperlink>
      <w:r w:rsidRPr="008C6FCA">
        <w:rPr>
          <w:rFonts w:ascii="Arial" w:hAnsi="Arial" w:cs="Arial"/>
          <w:color w:val="000000"/>
        </w:rPr>
        <w:t xml:space="preserve">, a zák. č. 280/2009 Sb., daňový řád, ve znění pozdějších předpisů, dostupný např. zde: </w:t>
      </w:r>
      <w:hyperlink r:id="rId7" w:history="1">
        <w:r w:rsidRPr="008C6FCA">
          <w:rPr>
            <w:rStyle w:val="Hypertextovodkaz"/>
            <w:rFonts w:ascii="Arial" w:hAnsi="Arial" w:cs="Arial"/>
          </w:rPr>
          <w:t>280/2009 Sb. Daňový řád (zakonyprolidi.cz)</w:t>
        </w:r>
      </w:hyperlink>
      <w:r w:rsidRPr="008C6FCA">
        <w:rPr>
          <w:rFonts w:ascii="Arial" w:hAnsi="Arial" w:cs="Arial"/>
          <w:color w:val="000000"/>
        </w:rPr>
        <w:t>.</w:t>
      </w:r>
    </w:p>
    <w:p w14:paraId="346BF446" w14:textId="77777777" w:rsidR="008C6FCA" w:rsidRPr="008C6FCA" w:rsidRDefault="008C6FCA" w:rsidP="008C6FCA">
      <w:pPr>
        <w:autoSpaceDE w:val="0"/>
        <w:autoSpaceDN w:val="0"/>
        <w:adjustRightInd w:val="0"/>
        <w:spacing w:line="276" w:lineRule="auto"/>
        <w:jc w:val="both"/>
        <w:rPr>
          <w:rFonts w:ascii="Arial" w:hAnsi="Arial" w:cs="Arial"/>
          <w:color w:val="000000"/>
        </w:rPr>
      </w:pPr>
      <w:r w:rsidRPr="008C6FCA">
        <w:rPr>
          <w:rFonts w:ascii="Arial" w:hAnsi="Arial" w:cs="Arial"/>
          <w:color w:val="000000"/>
        </w:rPr>
        <w:t>Současně upozorňujeme, že Generální finanční ředitelství není oprávněno k závaznému výkladu právních předpisů ani k poskytování právního poradenství v individuálních věcech.</w:t>
      </w:r>
    </w:p>
    <w:p w14:paraId="2C86F55A" w14:textId="375A0546" w:rsidR="008C6FCA" w:rsidRPr="008C6FCA" w:rsidRDefault="008C6FCA" w:rsidP="008C6FCA">
      <w:pPr>
        <w:autoSpaceDE w:val="0"/>
        <w:autoSpaceDN w:val="0"/>
        <w:adjustRightInd w:val="0"/>
        <w:spacing w:line="276" w:lineRule="auto"/>
        <w:jc w:val="both"/>
        <w:rPr>
          <w:rFonts w:ascii="Arial" w:hAnsi="Arial" w:cs="Arial"/>
          <w:color w:val="000000"/>
        </w:rPr>
      </w:pPr>
      <w:r w:rsidRPr="008C6FCA">
        <w:rPr>
          <w:rFonts w:ascii="Arial" w:hAnsi="Arial" w:cs="Arial"/>
          <w:color w:val="000000"/>
        </w:rPr>
        <w:t xml:space="preserve">K dotazu č. 9 odkazujeme na zveřejněnou informaci, dostupnou zde: </w:t>
      </w:r>
      <w:hyperlink r:id="rId8" w:history="1">
        <w:r w:rsidRPr="008C6FCA">
          <w:rPr>
            <w:rStyle w:val="Hypertextovodkaz"/>
            <w:rFonts w:ascii="Arial" w:hAnsi="Arial" w:cs="Arial"/>
          </w:rPr>
          <w:t>Analýzy a statistiky | Daně | Finanční správa (financnisprava.cz)</w:t>
        </w:r>
      </w:hyperlink>
      <w:r w:rsidRPr="008C6FCA">
        <w:rPr>
          <w:rFonts w:ascii="Arial" w:hAnsi="Arial" w:cs="Arial"/>
          <w:color w:val="000000"/>
        </w:rPr>
        <w:t>.</w:t>
      </w:r>
    </w:p>
    <w:p w14:paraId="507F41F4" w14:textId="77777777" w:rsidR="008C6FCA" w:rsidRPr="008C6FCA" w:rsidRDefault="008C6FCA" w:rsidP="008C6FCA">
      <w:pPr>
        <w:autoSpaceDE w:val="0"/>
        <w:autoSpaceDN w:val="0"/>
        <w:adjustRightInd w:val="0"/>
        <w:jc w:val="both"/>
        <w:rPr>
          <w:rFonts w:ascii="Arial" w:hAnsi="Arial" w:cs="Arial"/>
          <w:color w:val="000000"/>
        </w:rPr>
      </w:pPr>
      <w:r w:rsidRPr="008C6FCA">
        <w:rPr>
          <w:rFonts w:ascii="Arial" w:hAnsi="Arial" w:cs="Arial"/>
          <w:color w:val="000000"/>
        </w:rPr>
        <w:t xml:space="preserve">K dotazu č. 8 a 13 sdělujeme, že k 30. 9. 2023 orgány Finanční správy ČR měly v evidenčním počtu celkem 13 863 zaměstnanců a průměrný vyplacený plat dosahoval výše 44 900 Kč měsíčně. Zaměstnavatelem je Česká republika – Generální finanční ředitelství. </w:t>
      </w:r>
    </w:p>
    <w:p w14:paraId="0EDAF9A0" w14:textId="77777777" w:rsidR="00775403" w:rsidRDefault="00775403" w:rsidP="00775403"/>
    <w:p w14:paraId="01A733B0" w14:textId="77777777" w:rsidR="00775403" w:rsidRDefault="00775403" w:rsidP="00775403"/>
    <w:p w14:paraId="0676A222" w14:textId="77777777" w:rsidR="00775403" w:rsidRDefault="00775403" w:rsidP="00775403"/>
    <w:p w14:paraId="409A64A0" w14:textId="77777777" w:rsidR="001E1838" w:rsidRDefault="001E1838"/>
    <w:sectPr w:rsidR="001E1838" w:rsidSect="008C6FC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9CA"/>
    <w:multiLevelType w:val="hybridMultilevel"/>
    <w:tmpl w:val="4FC0E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DE7980"/>
    <w:multiLevelType w:val="hybridMultilevel"/>
    <w:tmpl w:val="BA7E254E"/>
    <w:lvl w:ilvl="0" w:tplc="703048F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27374D"/>
    <w:multiLevelType w:val="hybridMultilevel"/>
    <w:tmpl w:val="980A2316"/>
    <w:lvl w:ilvl="0" w:tplc="703048F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A56448"/>
    <w:multiLevelType w:val="hybridMultilevel"/>
    <w:tmpl w:val="EBC20D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71982174">
    <w:abstractNumId w:val="3"/>
  </w:num>
  <w:num w:numId="2" w16cid:durableId="2018532498">
    <w:abstractNumId w:val="0"/>
  </w:num>
  <w:num w:numId="3" w16cid:durableId="1495537045">
    <w:abstractNumId w:val="1"/>
  </w:num>
  <w:num w:numId="4" w16cid:durableId="1674797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03"/>
    <w:rsid w:val="000970AB"/>
    <w:rsid w:val="001E1838"/>
    <w:rsid w:val="00775403"/>
    <w:rsid w:val="008905CA"/>
    <w:rsid w:val="008C6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ECBF"/>
  <w15:chartTrackingRefBased/>
  <w15:docId w15:val="{95ED3313-8D09-45C1-BB08-9ECCAC07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540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403"/>
    <w:pPr>
      <w:spacing w:after="0" w:line="240" w:lineRule="auto"/>
      <w:ind w:left="720"/>
    </w:pPr>
    <w:rPr>
      <w:rFonts w:ascii="Calibri" w:hAnsi="Calibri" w:cs="Calibri"/>
    </w:rPr>
  </w:style>
  <w:style w:type="paragraph" w:styleId="Normlnweb">
    <w:name w:val="Normal (Web)"/>
    <w:basedOn w:val="Normln"/>
    <w:uiPriority w:val="99"/>
    <w:semiHidden/>
    <w:unhideWhenUsed/>
    <w:rsid w:val="008905CA"/>
    <w:pPr>
      <w:spacing w:before="100" w:beforeAutospacing="1" w:after="100" w:afterAutospacing="1" w:line="240" w:lineRule="auto"/>
    </w:pPr>
    <w:rPr>
      <w:rFonts w:ascii="Calibri" w:hAnsi="Calibri" w:cs="Calibri"/>
      <w:lang w:eastAsia="cs-CZ"/>
    </w:rPr>
  </w:style>
  <w:style w:type="character" w:styleId="Hypertextovodkaz">
    <w:name w:val="Hyperlink"/>
    <w:basedOn w:val="Standardnpsmoodstavce"/>
    <w:uiPriority w:val="99"/>
    <w:semiHidden/>
    <w:unhideWhenUsed/>
    <w:rsid w:val="008C6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cs/dane/analyzy-a-statistiky" TargetMode="External"/><Relationship Id="rId3" Type="http://schemas.openxmlformats.org/officeDocument/2006/relationships/settings" Target="settings.xml"/><Relationship Id="rId7" Type="http://schemas.openxmlformats.org/officeDocument/2006/relationships/hyperlink" Target="https://www.zakonyprolidi.cz/cs/2009-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yprolidi.cz/cs/2011-456" TargetMode="External"/><Relationship Id="rId5" Type="http://schemas.openxmlformats.org/officeDocument/2006/relationships/hyperlink" Target="https://www.financnisprava.cz/cs/financni-sprava/generalni-financni-reditelstvi/poskytnute-informace-dle-zakona-106-1999sb/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631</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2023-11-30T08:22:00Z</dcterms:created>
  <dcterms:modified xsi:type="dcterms:W3CDTF">2023-11-30T08:57:00Z</dcterms:modified>
</cp:coreProperties>
</file>