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28DB" w14:textId="3A6D4766" w:rsidR="002579B2" w:rsidRPr="00F217A0" w:rsidRDefault="002579B2" w:rsidP="002579B2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 w:rsidRPr="00F217A0"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03384A">
        <w:rPr>
          <w:rFonts w:ascii="Arial" w:hAnsi="Arial" w:cs="Arial"/>
          <w:b/>
          <w:sz w:val="24"/>
          <w:szCs w:val="24"/>
          <w:u w:val="single"/>
        </w:rPr>
        <w:t>3</w:t>
      </w:r>
      <w:r w:rsidRPr="00F217A0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189639D8" w14:textId="77777777" w:rsidR="002579B2" w:rsidRDefault="002579B2" w:rsidP="002579B2">
      <w:pPr>
        <w:spacing w:after="240"/>
        <w:jc w:val="both"/>
        <w:rPr>
          <w:rFonts w:ascii="Arial" w:hAnsi="Arial" w:cs="Arial"/>
          <w:b/>
          <w:u w:val="single"/>
        </w:rPr>
      </w:pPr>
      <w:r w:rsidRPr="002866E2">
        <w:rPr>
          <w:rFonts w:ascii="Arial" w:hAnsi="Arial" w:cs="Arial"/>
          <w:b/>
          <w:u w:val="single"/>
        </w:rPr>
        <w:t xml:space="preserve">Dotaz: </w:t>
      </w:r>
    </w:p>
    <w:p w14:paraId="4BF06EDE" w14:textId="0136B7A0" w:rsidR="0003384A" w:rsidRPr="003270A5" w:rsidRDefault="002579B2" w:rsidP="000338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_Hlk127344340"/>
      <w:r w:rsidRPr="0083541A">
        <w:rPr>
          <w:rFonts w:ascii="Arial" w:hAnsi="Arial" w:cs="Arial"/>
        </w:rPr>
        <w:t>Žádám o poskytnutí</w:t>
      </w:r>
      <w:r w:rsidR="0003384A">
        <w:rPr>
          <w:rFonts w:ascii="Arial" w:hAnsi="Arial" w:cs="Arial"/>
        </w:rPr>
        <w:t xml:space="preserve"> následujících informací: </w:t>
      </w:r>
    </w:p>
    <w:p w14:paraId="61DA12FD" w14:textId="77777777" w:rsidR="0003384A" w:rsidRPr="0003384A" w:rsidRDefault="0003384A" w:rsidP="0003384A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color w:val="222222"/>
        </w:rPr>
      </w:pPr>
      <w:r w:rsidRPr="0003384A">
        <w:rPr>
          <w:rFonts w:ascii="Arial" w:hAnsi="Arial" w:cs="Arial"/>
          <w:b/>
          <w:bCs/>
          <w:color w:val="222222"/>
        </w:rPr>
        <w:t>Počet žádostí</w:t>
      </w:r>
      <w:r w:rsidRPr="0003384A">
        <w:rPr>
          <w:rFonts w:ascii="Arial" w:hAnsi="Arial" w:cs="Arial"/>
          <w:color w:val="222222"/>
        </w:rPr>
        <w:t xml:space="preserve"> o kompenzační bonus pro osoby pracující na dohodu o provedení práce a dohodu o pracovní činnosti za jednotlivé roky 2020,2021 a 2022. </w:t>
      </w:r>
    </w:p>
    <w:p w14:paraId="061753AC" w14:textId="77777777" w:rsidR="0003384A" w:rsidRPr="0003384A" w:rsidRDefault="0003384A" w:rsidP="0003384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222222"/>
        </w:rPr>
      </w:pPr>
      <w:r w:rsidRPr="0003384A">
        <w:rPr>
          <w:rFonts w:ascii="Arial" w:hAnsi="Arial" w:cs="Arial"/>
          <w:b/>
          <w:bCs/>
          <w:color w:val="222222"/>
        </w:rPr>
        <w:t>Jaká byla výše vyplacené podpory</w:t>
      </w:r>
      <w:r w:rsidRPr="0003384A">
        <w:rPr>
          <w:rFonts w:ascii="Arial" w:hAnsi="Arial" w:cs="Arial"/>
          <w:color w:val="222222"/>
        </w:rPr>
        <w:t xml:space="preserve"> v rámci kompenzačního bonusu pro osoby pracující na dohodu o provedení práce a dohodu o pracovní činnosti za jednotlivé roky 2020, 2021 a 2022.</w:t>
      </w:r>
    </w:p>
    <w:p w14:paraId="47F1A634" w14:textId="77777777" w:rsidR="0003384A" w:rsidRPr="0003384A" w:rsidRDefault="0003384A" w:rsidP="0003384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222222"/>
        </w:rPr>
      </w:pPr>
      <w:r w:rsidRPr="0003384A">
        <w:rPr>
          <w:rFonts w:ascii="Arial" w:hAnsi="Arial" w:cs="Arial"/>
          <w:color w:val="222222"/>
        </w:rPr>
        <w:t>Počet žádostí o kompenzační bonus pro OSVČ za jednotlivé roky 2020,2021 a 2022.</w:t>
      </w:r>
    </w:p>
    <w:p w14:paraId="1C8205FD" w14:textId="77777777" w:rsidR="0003384A" w:rsidRPr="0003384A" w:rsidRDefault="0003384A" w:rsidP="0003384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222222"/>
        </w:rPr>
      </w:pPr>
      <w:r w:rsidRPr="0003384A">
        <w:rPr>
          <w:rFonts w:ascii="Arial" w:hAnsi="Arial" w:cs="Arial"/>
          <w:color w:val="222222"/>
        </w:rPr>
        <w:t>Jaká byla výše vyplacené podpory v rámci kompenzačního bonusu pro OSVČ za jednotlivé roky 2020, 2021 a 2022.</w:t>
      </w:r>
    </w:p>
    <w:p w14:paraId="432C805E" w14:textId="77777777" w:rsidR="0003384A" w:rsidRPr="0003384A" w:rsidRDefault="0003384A" w:rsidP="0003384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222222"/>
        </w:rPr>
      </w:pPr>
      <w:r w:rsidRPr="0003384A">
        <w:rPr>
          <w:rFonts w:ascii="Arial" w:hAnsi="Arial" w:cs="Arial"/>
          <w:color w:val="222222"/>
        </w:rPr>
        <w:t>Počet žádostí o kompenzační bonus v rámci pomoci společníků malých s.r.o. za jednotlivé roky 2020,2021 a 2022.</w:t>
      </w:r>
    </w:p>
    <w:p w14:paraId="1D457E9A" w14:textId="77777777" w:rsidR="0003384A" w:rsidRPr="0003384A" w:rsidRDefault="0003384A" w:rsidP="0003384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  <w:r w:rsidRPr="0003384A">
        <w:rPr>
          <w:rFonts w:ascii="Arial" w:hAnsi="Arial" w:cs="Arial"/>
          <w:color w:val="222222"/>
        </w:rPr>
        <w:t>Jaká byla výše vyplacené podpory v rámci pomoci společníkům malých s.r.o., za jednotlivé roky 2020, 2021 a 2022.</w:t>
      </w:r>
    </w:p>
    <w:p w14:paraId="0E16955E" w14:textId="77777777" w:rsidR="0003384A" w:rsidRPr="0003384A" w:rsidRDefault="0003384A" w:rsidP="0003384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  <w:r w:rsidRPr="0003384A">
        <w:rPr>
          <w:rFonts w:ascii="Arial" w:hAnsi="Arial" w:cs="Arial"/>
        </w:rPr>
        <w:t xml:space="preserve">Kolik Finanční správa podala trestních oznámení o podezření ze spáchání trestného činu v souvislosti s žádostmi a výplatami kompenzačních bonusů za období 2020 až 2022. </w:t>
      </w:r>
    </w:p>
    <w:p w14:paraId="136CEC33" w14:textId="77777777" w:rsidR="0003384A" w:rsidRPr="0003384A" w:rsidRDefault="0003384A" w:rsidP="0003384A">
      <w:pPr>
        <w:pStyle w:val="Odstavecseseznamem"/>
        <w:numPr>
          <w:ilvl w:val="0"/>
          <w:numId w:val="1"/>
        </w:numPr>
        <w:spacing w:after="0" w:line="276" w:lineRule="auto"/>
        <w:ind w:left="426"/>
        <w:rPr>
          <w:rFonts w:ascii="Arial" w:hAnsi="Arial" w:cs="Arial"/>
        </w:rPr>
      </w:pPr>
      <w:r w:rsidRPr="0003384A">
        <w:rPr>
          <w:rFonts w:ascii="Arial" w:hAnsi="Arial" w:cs="Arial"/>
          <w:lang w:eastAsia="cs-CZ"/>
        </w:rPr>
        <w:t>Jaká byla výše škody v souvislosti s podanými trestními oznámeními.</w:t>
      </w:r>
    </w:p>
    <w:p w14:paraId="54AE2B14" w14:textId="77777777" w:rsidR="0003384A" w:rsidRPr="0003384A" w:rsidRDefault="0003384A" w:rsidP="0003384A">
      <w:pPr>
        <w:pStyle w:val="Odstavecseseznamem"/>
        <w:numPr>
          <w:ilvl w:val="0"/>
          <w:numId w:val="1"/>
        </w:numPr>
        <w:spacing w:line="276" w:lineRule="auto"/>
        <w:ind w:left="426"/>
        <w:rPr>
          <w:rFonts w:ascii="Arial" w:hAnsi="Arial" w:cs="Arial"/>
        </w:rPr>
      </w:pPr>
      <w:r w:rsidRPr="0003384A">
        <w:rPr>
          <w:rFonts w:ascii="Arial" w:hAnsi="Arial" w:cs="Arial"/>
          <w:lang w:eastAsia="cs-CZ"/>
        </w:rPr>
        <w:t xml:space="preserve">Kolik bylo provedeno kontrol příjemců kompenzačních bonusů k 31.12.2022 a jaká jsou nejčastější pochybení u příjemců kompenzačních bonusů. </w:t>
      </w:r>
    </w:p>
    <w:p w14:paraId="38B79434" w14:textId="77777777" w:rsidR="0003384A" w:rsidRPr="0003384A" w:rsidRDefault="0003384A" w:rsidP="0003384A">
      <w:pPr>
        <w:pStyle w:val="Odstavecseseznamem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</w:p>
    <w:p w14:paraId="69F8DE07" w14:textId="75BD64FB" w:rsidR="002579B2" w:rsidRDefault="002579B2" w:rsidP="0003384A">
      <w:pPr>
        <w:pStyle w:val="Default"/>
        <w:spacing w:line="276" w:lineRule="auto"/>
        <w:jc w:val="both"/>
        <w:rPr>
          <w:rFonts w:ascii="Arial" w:hAnsi="Arial" w:cs="Arial"/>
          <w:b/>
          <w:u w:val="single"/>
        </w:rPr>
      </w:pPr>
      <w:r w:rsidRPr="00BA53D8">
        <w:rPr>
          <w:rFonts w:ascii="Arial" w:hAnsi="Arial" w:cs="Arial"/>
          <w:b/>
          <w:u w:val="single"/>
        </w:rPr>
        <w:t xml:space="preserve">Odpověď: </w:t>
      </w:r>
      <w:bookmarkEnd w:id="1"/>
    </w:p>
    <w:p w14:paraId="0B6AA8B5" w14:textId="77777777" w:rsidR="002579B2" w:rsidRDefault="002579B2" w:rsidP="002579B2">
      <w:pPr>
        <w:spacing w:before="240" w:after="240" w:line="276" w:lineRule="auto"/>
        <w:contextualSpacing/>
        <w:jc w:val="both"/>
        <w:rPr>
          <w:rFonts w:ascii="Arial" w:hAnsi="Arial" w:cs="Arial"/>
          <w:b/>
          <w:u w:val="single"/>
        </w:rPr>
      </w:pPr>
    </w:p>
    <w:p w14:paraId="027D5C3F" w14:textId="77777777" w:rsidR="0003384A" w:rsidRDefault="0003384A" w:rsidP="000338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20AA">
        <w:rPr>
          <w:rFonts w:ascii="Arial" w:hAnsi="Arial" w:cs="Arial"/>
        </w:rPr>
        <w:t>Žádosti o</w:t>
      </w:r>
      <w:r>
        <w:rPr>
          <w:rFonts w:ascii="Arial" w:hAnsi="Arial" w:cs="Arial"/>
        </w:rPr>
        <w:t> kompenzační bonus (dále také „</w:t>
      </w:r>
      <w:r w:rsidRPr="004120AA">
        <w:rPr>
          <w:rFonts w:ascii="Arial" w:hAnsi="Arial" w:cs="Arial"/>
          <w:b/>
          <w:bCs/>
        </w:rPr>
        <w:t>KB</w:t>
      </w:r>
      <w:r>
        <w:rPr>
          <w:rFonts w:ascii="Arial" w:hAnsi="Arial" w:cs="Arial"/>
        </w:rPr>
        <w:t>“)</w:t>
      </w:r>
      <w:r w:rsidRPr="004120AA">
        <w:rPr>
          <w:rFonts w:ascii="Arial" w:hAnsi="Arial" w:cs="Arial"/>
        </w:rPr>
        <w:t xml:space="preserve"> byly </w:t>
      </w:r>
      <w:r>
        <w:rPr>
          <w:rFonts w:ascii="Arial" w:hAnsi="Arial" w:cs="Arial"/>
        </w:rPr>
        <w:t>orgány Finanční správy ČR</w:t>
      </w:r>
      <w:r w:rsidRPr="004120AA">
        <w:rPr>
          <w:rFonts w:ascii="Arial" w:hAnsi="Arial" w:cs="Arial"/>
        </w:rPr>
        <w:t xml:space="preserve"> sledovány v členění dle jednotlivých zákonů o KB</w:t>
      </w:r>
      <w:r>
        <w:rPr>
          <w:rFonts w:ascii="Arial" w:hAnsi="Arial" w:cs="Arial"/>
        </w:rPr>
        <w:t xml:space="preserve"> (č</w:t>
      </w:r>
      <w:r w:rsidRPr="004120AA">
        <w:rPr>
          <w:rFonts w:ascii="Arial" w:hAnsi="Arial" w:cs="Arial"/>
        </w:rPr>
        <w:t>íslo</w:t>
      </w:r>
      <w:r>
        <w:rPr>
          <w:rFonts w:ascii="Arial" w:hAnsi="Arial" w:cs="Arial"/>
        </w:rPr>
        <w:t xml:space="preserve"> konkrétního</w:t>
      </w:r>
      <w:r w:rsidRPr="004120AA">
        <w:rPr>
          <w:rFonts w:ascii="Arial" w:hAnsi="Arial" w:cs="Arial"/>
        </w:rPr>
        <w:t xml:space="preserve"> zákona je uvedeno v záhlaví tabulky</w:t>
      </w:r>
      <w:r>
        <w:rPr>
          <w:rFonts w:ascii="Arial" w:hAnsi="Arial" w:cs="Arial"/>
        </w:rPr>
        <w:t>)</w:t>
      </w:r>
      <w:r w:rsidRPr="004120AA">
        <w:rPr>
          <w:rFonts w:ascii="Arial" w:hAnsi="Arial" w:cs="Arial"/>
        </w:rPr>
        <w:t xml:space="preserve">. </w:t>
      </w:r>
    </w:p>
    <w:p w14:paraId="1E48843A" w14:textId="77777777" w:rsidR="0003384A" w:rsidRPr="004120AA" w:rsidRDefault="0003384A" w:rsidP="000338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20AA">
        <w:rPr>
          <w:rFonts w:ascii="Arial" w:hAnsi="Arial" w:cs="Arial"/>
        </w:rPr>
        <w:t>Evidence KB za bonusová období dle zákona č. 159/2020 Sb., byla evidence vedena dle</w:t>
      </w:r>
      <w:r>
        <w:rPr>
          <w:rFonts w:ascii="Arial" w:hAnsi="Arial" w:cs="Arial"/>
        </w:rPr>
        <w:t xml:space="preserve"> typu</w:t>
      </w:r>
      <w:r w:rsidRPr="004120AA">
        <w:rPr>
          <w:rFonts w:ascii="Arial" w:hAnsi="Arial" w:cs="Arial"/>
        </w:rPr>
        <w:t xml:space="preserve"> žadatel</w:t>
      </w:r>
      <w:r>
        <w:rPr>
          <w:rFonts w:ascii="Arial" w:hAnsi="Arial" w:cs="Arial"/>
        </w:rPr>
        <w:t>e</w:t>
      </w:r>
      <w:r w:rsidRPr="004120AA">
        <w:rPr>
          <w:rFonts w:ascii="Arial" w:hAnsi="Arial" w:cs="Arial"/>
        </w:rPr>
        <w:t xml:space="preserve">, v dalších obdobích již v tomto členění evidence vedena nebyla. </w:t>
      </w:r>
      <w:r>
        <w:rPr>
          <w:rFonts w:ascii="Arial" w:hAnsi="Arial" w:cs="Arial"/>
        </w:rPr>
        <w:t>Níže uvedené 2 tabulky se vztahují k bodům č. 1., 3. a 5.</w:t>
      </w:r>
    </w:p>
    <w:tbl>
      <w:tblPr>
        <w:tblW w:w="9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2120"/>
        <w:gridCol w:w="1936"/>
        <w:gridCol w:w="1935"/>
        <w:gridCol w:w="2354"/>
      </w:tblGrid>
      <w:tr w:rsidR="0003384A" w:rsidRPr="004120AA" w14:paraId="6D36A39B" w14:textId="77777777" w:rsidTr="00AE5218">
        <w:trPr>
          <w:trHeight w:val="698"/>
        </w:trPr>
        <w:tc>
          <w:tcPr>
            <w:tcW w:w="96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056669" w14:textId="77777777" w:rsidR="0003384A" w:rsidRPr="004120AA" w:rsidRDefault="0003384A" w:rsidP="00AE5218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0AA">
              <w:rPr>
                <w:rFonts w:ascii="Arial" w:hAnsi="Arial" w:cs="Arial"/>
                <w:b/>
                <w:bCs/>
              </w:rPr>
              <w:t>Počet žádostí dle za rok 2020 zákona č. 159/ 2020 Sb., o kompenzačním bonusu</w:t>
            </w:r>
            <w:r>
              <w:rPr>
                <w:rFonts w:ascii="Arial" w:hAnsi="Arial" w:cs="Arial"/>
                <w:b/>
                <w:bCs/>
              </w:rPr>
              <w:t>, ve znění pozdějších předpisů</w:t>
            </w:r>
            <w:r w:rsidRPr="004120A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03384A" w:rsidRPr="004120AA" w14:paraId="5C8AE273" w14:textId="77777777" w:rsidTr="00AE5218">
        <w:trPr>
          <w:trHeight w:val="31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6CDD" w14:textId="77777777" w:rsidR="0003384A" w:rsidRPr="004120AA" w:rsidRDefault="0003384A" w:rsidP="00AE5218">
            <w:pPr>
              <w:rPr>
                <w:rFonts w:ascii="Arial" w:hAnsi="Arial" w:cs="Arial"/>
              </w:rPr>
            </w:pPr>
            <w:r w:rsidRPr="004120AA">
              <w:rPr>
                <w:rFonts w:ascii="Arial" w:hAnsi="Arial" w:cs="Aria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485C" w14:textId="77777777" w:rsidR="0003384A" w:rsidRPr="004120AA" w:rsidRDefault="0003384A" w:rsidP="00AE5218">
            <w:pPr>
              <w:jc w:val="center"/>
              <w:rPr>
                <w:rFonts w:ascii="Arial" w:hAnsi="Arial" w:cs="Arial"/>
              </w:rPr>
            </w:pPr>
            <w:proofErr w:type="spellStart"/>
            <w:r w:rsidRPr="004120AA">
              <w:rPr>
                <w:rFonts w:ascii="Arial" w:hAnsi="Arial" w:cs="Arial"/>
              </w:rPr>
              <w:t>dohodáři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9E62" w14:textId="77777777" w:rsidR="0003384A" w:rsidRPr="004120AA" w:rsidRDefault="0003384A" w:rsidP="00AE5218">
            <w:pPr>
              <w:jc w:val="center"/>
              <w:rPr>
                <w:rFonts w:ascii="Arial" w:hAnsi="Arial" w:cs="Arial"/>
              </w:rPr>
            </w:pPr>
            <w:r w:rsidRPr="004120AA">
              <w:rPr>
                <w:rFonts w:ascii="Arial" w:hAnsi="Arial" w:cs="Arial"/>
              </w:rPr>
              <w:t>společníci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C87B" w14:textId="77777777" w:rsidR="0003384A" w:rsidRPr="004120AA" w:rsidRDefault="0003384A" w:rsidP="00AE5218">
            <w:pPr>
              <w:jc w:val="center"/>
              <w:rPr>
                <w:rFonts w:ascii="Arial" w:hAnsi="Arial" w:cs="Arial"/>
              </w:rPr>
            </w:pPr>
            <w:r w:rsidRPr="004120AA">
              <w:rPr>
                <w:rFonts w:ascii="Arial" w:hAnsi="Arial" w:cs="Arial"/>
              </w:rPr>
              <w:t>OSVČ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3D6F9" w14:textId="77777777" w:rsidR="0003384A" w:rsidRPr="004120AA" w:rsidRDefault="0003384A" w:rsidP="00AE5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</w:t>
            </w:r>
          </w:p>
        </w:tc>
      </w:tr>
      <w:tr w:rsidR="0003384A" w:rsidRPr="004120AA" w14:paraId="514AEB9E" w14:textId="77777777" w:rsidTr="00AE5218">
        <w:trPr>
          <w:trHeight w:val="326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475E" w14:textId="77777777" w:rsidR="0003384A" w:rsidRPr="004120AA" w:rsidRDefault="0003384A" w:rsidP="00AE5218">
            <w:pPr>
              <w:rPr>
                <w:rFonts w:ascii="Arial" w:hAnsi="Arial" w:cs="Arial"/>
                <w:b/>
                <w:bCs/>
              </w:rPr>
            </w:pPr>
            <w:r w:rsidRPr="004120AA">
              <w:rPr>
                <w:rFonts w:ascii="Arial" w:hAnsi="Arial" w:cs="Arial"/>
                <w:b/>
                <w:bCs/>
              </w:rPr>
              <w:t xml:space="preserve">Celkem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C913" w14:textId="77777777" w:rsidR="0003384A" w:rsidRPr="004120AA" w:rsidRDefault="0003384A" w:rsidP="00AE5218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0AA">
              <w:rPr>
                <w:rFonts w:ascii="Arial" w:hAnsi="Arial" w:cs="Arial"/>
                <w:b/>
                <w:bCs/>
              </w:rPr>
              <w:t>13 970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B545" w14:textId="77777777" w:rsidR="0003384A" w:rsidRPr="004120AA" w:rsidRDefault="0003384A" w:rsidP="00AE5218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0AA">
              <w:rPr>
                <w:rFonts w:ascii="Arial" w:hAnsi="Arial" w:cs="Arial"/>
                <w:b/>
                <w:bCs/>
              </w:rPr>
              <w:t>106 338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E9F6" w14:textId="77777777" w:rsidR="0003384A" w:rsidRPr="004120AA" w:rsidRDefault="0003384A" w:rsidP="00AE5218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0AA">
              <w:rPr>
                <w:rFonts w:ascii="Arial" w:hAnsi="Arial" w:cs="Arial"/>
                <w:b/>
                <w:bCs/>
              </w:rPr>
              <w:t>979 124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C70AA" w14:textId="77777777" w:rsidR="0003384A" w:rsidRPr="004120AA" w:rsidRDefault="0003384A" w:rsidP="00AE5218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0AA">
              <w:rPr>
                <w:rFonts w:ascii="Arial" w:hAnsi="Arial" w:cs="Arial"/>
                <w:b/>
                <w:bCs/>
              </w:rPr>
              <w:t>1 099 432</w:t>
            </w:r>
          </w:p>
        </w:tc>
      </w:tr>
    </w:tbl>
    <w:p w14:paraId="423DFFA3" w14:textId="77777777" w:rsidR="0003384A" w:rsidRPr="004120AA" w:rsidRDefault="0003384A" w:rsidP="000338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6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153"/>
        <w:gridCol w:w="1662"/>
        <w:gridCol w:w="1523"/>
        <w:gridCol w:w="1646"/>
        <w:gridCol w:w="1404"/>
      </w:tblGrid>
      <w:tr w:rsidR="0003384A" w:rsidRPr="004120AA" w14:paraId="7B979787" w14:textId="77777777" w:rsidTr="00AE5218">
        <w:trPr>
          <w:trHeight w:val="708"/>
        </w:trPr>
        <w:tc>
          <w:tcPr>
            <w:tcW w:w="968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84F7FD" w14:textId="77777777" w:rsidR="0003384A" w:rsidRPr="004120AA" w:rsidRDefault="0003384A" w:rsidP="00AE5218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0AA">
              <w:rPr>
                <w:rFonts w:ascii="Arial" w:hAnsi="Arial" w:cs="Arial"/>
                <w:b/>
                <w:bCs/>
              </w:rPr>
              <w:t xml:space="preserve">Počet žádostí za rok dle konce bonusového období dle zákona č. 461/2020 Sb., </w:t>
            </w:r>
          </w:p>
          <w:p w14:paraId="0B2A94B5" w14:textId="77777777" w:rsidR="0003384A" w:rsidRPr="004120AA" w:rsidRDefault="0003384A" w:rsidP="00AE52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zákona </w:t>
            </w:r>
            <w:r w:rsidRPr="004120AA">
              <w:rPr>
                <w:rFonts w:ascii="Arial" w:hAnsi="Arial" w:cs="Arial"/>
                <w:b/>
                <w:bCs/>
              </w:rPr>
              <w:t xml:space="preserve">č. 95/2021 Sb. a </w:t>
            </w:r>
            <w:r>
              <w:rPr>
                <w:rFonts w:ascii="Arial" w:hAnsi="Arial" w:cs="Arial"/>
                <w:b/>
                <w:bCs/>
              </w:rPr>
              <w:t xml:space="preserve">zákona </w:t>
            </w:r>
            <w:r w:rsidRPr="004120AA">
              <w:rPr>
                <w:rFonts w:ascii="Arial" w:hAnsi="Arial" w:cs="Arial"/>
                <w:b/>
                <w:bCs/>
              </w:rPr>
              <w:t>č. 519/2021 Sb.</w:t>
            </w:r>
          </w:p>
        </w:tc>
      </w:tr>
      <w:tr w:rsidR="0003384A" w:rsidRPr="004120AA" w14:paraId="0E7E42FB" w14:textId="77777777" w:rsidTr="00AE5218">
        <w:trPr>
          <w:trHeight w:val="583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0398" w14:textId="77777777" w:rsidR="0003384A" w:rsidRPr="004120AA" w:rsidRDefault="0003384A" w:rsidP="00AE5218">
            <w:pPr>
              <w:rPr>
                <w:rFonts w:ascii="Arial" w:hAnsi="Arial" w:cs="Arial"/>
              </w:rPr>
            </w:pPr>
            <w:r w:rsidRPr="004120AA">
              <w:rPr>
                <w:rFonts w:ascii="Arial" w:hAnsi="Arial" w:cs="Arial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80E8" w14:textId="77777777" w:rsidR="0003384A" w:rsidRPr="004120AA" w:rsidRDefault="0003384A" w:rsidP="00AE5218">
            <w:pPr>
              <w:jc w:val="center"/>
              <w:rPr>
                <w:rFonts w:ascii="Arial" w:hAnsi="Arial" w:cs="Arial"/>
              </w:rPr>
            </w:pPr>
            <w:r w:rsidRPr="004120AA">
              <w:rPr>
                <w:rFonts w:ascii="Arial" w:hAnsi="Arial" w:cs="Arial"/>
              </w:rPr>
              <w:t>Neidentifikované BO*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484F" w14:textId="77777777" w:rsidR="0003384A" w:rsidRPr="004120AA" w:rsidRDefault="0003384A" w:rsidP="00AE5218">
            <w:pPr>
              <w:jc w:val="center"/>
              <w:rPr>
                <w:rFonts w:ascii="Arial" w:hAnsi="Arial" w:cs="Arial"/>
              </w:rPr>
            </w:pPr>
            <w:r w:rsidRPr="004120AA">
              <w:rPr>
                <w:rFonts w:ascii="Arial" w:hAnsi="Arial" w:cs="Arial"/>
              </w:rPr>
              <w:t>2020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BFAA" w14:textId="77777777" w:rsidR="0003384A" w:rsidRPr="004120AA" w:rsidRDefault="0003384A" w:rsidP="00AE5218">
            <w:pPr>
              <w:jc w:val="center"/>
              <w:rPr>
                <w:rFonts w:ascii="Arial" w:hAnsi="Arial" w:cs="Arial"/>
              </w:rPr>
            </w:pPr>
            <w:r w:rsidRPr="004120AA">
              <w:rPr>
                <w:rFonts w:ascii="Arial" w:hAnsi="Arial" w:cs="Arial"/>
              </w:rPr>
              <w:t>2021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A2BF" w14:textId="77777777" w:rsidR="0003384A" w:rsidRPr="004120AA" w:rsidRDefault="0003384A" w:rsidP="00AE5218">
            <w:pPr>
              <w:jc w:val="center"/>
              <w:rPr>
                <w:rFonts w:ascii="Arial" w:hAnsi="Arial" w:cs="Arial"/>
              </w:rPr>
            </w:pPr>
            <w:r w:rsidRPr="004120AA">
              <w:rPr>
                <w:rFonts w:ascii="Arial" w:hAnsi="Arial" w:cs="Arial"/>
              </w:rPr>
              <w:t>2022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81F86" w14:textId="77777777" w:rsidR="0003384A" w:rsidRPr="004120AA" w:rsidRDefault="0003384A" w:rsidP="00AE5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</w:t>
            </w:r>
          </w:p>
        </w:tc>
      </w:tr>
      <w:tr w:rsidR="0003384A" w:rsidRPr="004120AA" w14:paraId="5C56AB66" w14:textId="77777777" w:rsidTr="00AE5218">
        <w:trPr>
          <w:trHeight w:val="329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4EDC" w14:textId="77777777" w:rsidR="0003384A" w:rsidRPr="004120AA" w:rsidRDefault="0003384A" w:rsidP="00AE5218">
            <w:pPr>
              <w:rPr>
                <w:rFonts w:ascii="Arial" w:hAnsi="Arial" w:cs="Arial"/>
                <w:b/>
                <w:bCs/>
              </w:rPr>
            </w:pPr>
            <w:r w:rsidRPr="004120AA">
              <w:rPr>
                <w:rFonts w:ascii="Arial" w:hAnsi="Arial" w:cs="Arial"/>
                <w:b/>
                <w:bCs/>
              </w:rPr>
              <w:t xml:space="preserve">Celkem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FFD3" w14:textId="77777777" w:rsidR="0003384A" w:rsidRPr="004120AA" w:rsidRDefault="0003384A" w:rsidP="00AE5218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0AA">
              <w:rPr>
                <w:rFonts w:ascii="Arial" w:hAnsi="Arial" w:cs="Arial"/>
                <w:b/>
                <w:bCs/>
              </w:rPr>
              <w:t>308 842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1A71" w14:textId="77777777" w:rsidR="0003384A" w:rsidRPr="004120AA" w:rsidRDefault="0003384A" w:rsidP="00AE5218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0AA">
              <w:rPr>
                <w:rFonts w:ascii="Arial" w:hAnsi="Arial" w:cs="Arial"/>
                <w:b/>
                <w:bCs/>
              </w:rPr>
              <w:t>523 889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4442" w14:textId="77777777" w:rsidR="0003384A" w:rsidRPr="004120AA" w:rsidRDefault="0003384A" w:rsidP="00AE5218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0AA">
              <w:rPr>
                <w:rFonts w:ascii="Arial" w:hAnsi="Arial" w:cs="Arial"/>
                <w:b/>
                <w:bCs/>
              </w:rPr>
              <w:t>964 732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5E56" w14:textId="77777777" w:rsidR="0003384A" w:rsidRPr="004120AA" w:rsidRDefault="0003384A" w:rsidP="00AE5218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0AA">
              <w:rPr>
                <w:rFonts w:ascii="Arial" w:hAnsi="Arial" w:cs="Arial"/>
                <w:b/>
                <w:bCs/>
              </w:rPr>
              <w:t>71 109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DD239" w14:textId="77777777" w:rsidR="0003384A" w:rsidRPr="004120AA" w:rsidRDefault="0003384A" w:rsidP="00AE5218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0AA">
              <w:rPr>
                <w:rFonts w:ascii="Arial" w:hAnsi="Arial" w:cs="Arial"/>
                <w:b/>
                <w:bCs/>
              </w:rPr>
              <w:t>1 868 572</w:t>
            </w:r>
          </w:p>
        </w:tc>
      </w:tr>
    </w:tbl>
    <w:p w14:paraId="03FA47F8" w14:textId="77777777" w:rsidR="0003384A" w:rsidRPr="004120AA" w:rsidRDefault="0003384A" w:rsidP="0003384A">
      <w:pPr>
        <w:autoSpaceDE w:val="0"/>
        <w:autoSpaceDN w:val="0"/>
        <w:jc w:val="both"/>
        <w:rPr>
          <w:rFonts w:ascii="Arial" w:hAnsi="Arial" w:cs="Arial"/>
        </w:rPr>
      </w:pPr>
      <w:r w:rsidRPr="004120AA">
        <w:rPr>
          <w:rFonts w:ascii="Arial" w:hAnsi="Arial" w:cs="Arial"/>
        </w:rPr>
        <w:t xml:space="preserve">* Jedná se o počty neúplných nebo duplicitně podaných žádostí, které nebylo možné zpracovat (důvodem může být právě duplicita, či neuvedení všech údajů v žádosti). Tyto žádosti byly </w:t>
      </w:r>
      <w:r>
        <w:rPr>
          <w:rFonts w:ascii="Arial" w:hAnsi="Arial" w:cs="Arial"/>
        </w:rPr>
        <w:t>sloučeny</w:t>
      </w:r>
      <w:r w:rsidRPr="004120AA">
        <w:rPr>
          <w:rFonts w:ascii="Arial" w:hAnsi="Arial" w:cs="Arial"/>
        </w:rPr>
        <w:t xml:space="preserve"> s případy, kdy tentýž žadatel měl v systému zpracovanou alespoň jednu správnou žádost o kompenzační bonus (tzn. žádost, která byla úplná). </w:t>
      </w:r>
    </w:p>
    <w:p w14:paraId="33A79564" w14:textId="77777777" w:rsidR="0003384A" w:rsidRPr="004120AA" w:rsidRDefault="0003384A" w:rsidP="000338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v případě tabulek k bodům </w:t>
      </w:r>
      <w:r w:rsidRPr="004120AA">
        <w:rPr>
          <w:rFonts w:ascii="Arial" w:hAnsi="Arial" w:cs="Arial"/>
        </w:rPr>
        <w:t>č. 2, 4</w:t>
      </w:r>
      <w:r>
        <w:rPr>
          <w:rFonts w:ascii="Arial" w:hAnsi="Arial" w:cs="Arial"/>
        </w:rPr>
        <w:t xml:space="preserve"> a</w:t>
      </w:r>
      <w:r w:rsidRPr="004120AA">
        <w:rPr>
          <w:rFonts w:ascii="Arial" w:hAnsi="Arial" w:cs="Arial"/>
        </w:rPr>
        <w:t xml:space="preserve"> 6 jsou poskytnuty v členění, jak byly </w:t>
      </w:r>
      <w:r>
        <w:rPr>
          <w:rFonts w:ascii="Arial" w:hAnsi="Arial" w:cs="Arial"/>
        </w:rPr>
        <w:t xml:space="preserve">orgány Finanční správy </w:t>
      </w:r>
      <w:r w:rsidRPr="004120AA">
        <w:rPr>
          <w:rFonts w:ascii="Arial" w:hAnsi="Arial" w:cs="Arial"/>
        </w:rPr>
        <w:t xml:space="preserve">ČR vedeny dle jednotlivých zákonů o KB. </w:t>
      </w:r>
    </w:p>
    <w:tbl>
      <w:tblPr>
        <w:tblW w:w="97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222"/>
        <w:gridCol w:w="1945"/>
        <w:gridCol w:w="1944"/>
        <w:gridCol w:w="2365"/>
      </w:tblGrid>
      <w:tr w:rsidR="0003384A" w:rsidRPr="004120AA" w14:paraId="046FCD80" w14:textId="77777777" w:rsidTr="00AE5218">
        <w:trPr>
          <w:trHeight w:val="691"/>
        </w:trPr>
        <w:tc>
          <w:tcPr>
            <w:tcW w:w="971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ADBD2" w14:textId="77777777" w:rsidR="0003384A" w:rsidRPr="004120AA" w:rsidRDefault="0003384A" w:rsidP="00AE5218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0AA">
              <w:rPr>
                <w:rFonts w:ascii="Arial" w:hAnsi="Arial" w:cs="Arial"/>
                <w:b/>
                <w:bCs/>
              </w:rPr>
              <w:lastRenderedPageBreak/>
              <w:t>Výše vyplacených žádosti za rok 2020 dle zákona č. 159/ 2020 Sb., o kompenzačním bonusu</w:t>
            </w:r>
            <w:r>
              <w:rPr>
                <w:rFonts w:ascii="Arial" w:hAnsi="Arial" w:cs="Arial"/>
                <w:b/>
                <w:bCs/>
              </w:rPr>
              <w:t xml:space="preserve"> (</w:t>
            </w:r>
            <w:r w:rsidRPr="004120AA">
              <w:rPr>
                <w:rFonts w:ascii="Arial" w:hAnsi="Arial" w:cs="Arial"/>
                <w:b/>
                <w:bCs/>
              </w:rPr>
              <w:t>v mil. Kč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03384A" w:rsidRPr="004120AA" w14:paraId="4C932C00" w14:textId="77777777" w:rsidTr="00AE5218">
        <w:trPr>
          <w:trHeight w:val="56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628B" w14:textId="77777777" w:rsidR="0003384A" w:rsidRPr="004120AA" w:rsidRDefault="0003384A" w:rsidP="00AE5218">
            <w:pPr>
              <w:jc w:val="center"/>
              <w:rPr>
                <w:rFonts w:ascii="Arial" w:hAnsi="Arial" w:cs="Arial"/>
              </w:rPr>
            </w:pPr>
            <w:r w:rsidRPr="004120AA">
              <w:rPr>
                <w:rFonts w:ascii="Arial" w:hAnsi="Arial" w:cs="Aria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4D6F" w14:textId="77777777" w:rsidR="0003384A" w:rsidRPr="004120AA" w:rsidRDefault="0003384A" w:rsidP="00AE5218">
            <w:pPr>
              <w:jc w:val="center"/>
              <w:rPr>
                <w:rFonts w:ascii="Arial" w:hAnsi="Arial" w:cs="Arial"/>
              </w:rPr>
            </w:pPr>
            <w:proofErr w:type="spellStart"/>
            <w:r w:rsidRPr="004120AA">
              <w:rPr>
                <w:rFonts w:ascii="Arial" w:hAnsi="Arial" w:cs="Arial"/>
              </w:rPr>
              <w:t>dohodáři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5420" w14:textId="77777777" w:rsidR="0003384A" w:rsidRPr="004120AA" w:rsidRDefault="0003384A" w:rsidP="00AE5218">
            <w:pPr>
              <w:jc w:val="center"/>
              <w:rPr>
                <w:rFonts w:ascii="Arial" w:hAnsi="Arial" w:cs="Arial"/>
              </w:rPr>
            </w:pPr>
            <w:r w:rsidRPr="004120AA">
              <w:rPr>
                <w:rFonts w:ascii="Arial" w:hAnsi="Arial" w:cs="Arial"/>
              </w:rPr>
              <w:t>společníci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F6F6" w14:textId="77777777" w:rsidR="0003384A" w:rsidRPr="004120AA" w:rsidRDefault="0003384A" w:rsidP="00AE5218">
            <w:pPr>
              <w:jc w:val="center"/>
              <w:rPr>
                <w:rFonts w:ascii="Arial" w:hAnsi="Arial" w:cs="Arial"/>
              </w:rPr>
            </w:pPr>
            <w:r w:rsidRPr="004120AA">
              <w:rPr>
                <w:rFonts w:ascii="Arial" w:hAnsi="Arial" w:cs="Arial"/>
              </w:rPr>
              <w:t>OSVČ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92311" w14:textId="77777777" w:rsidR="0003384A" w:rsidRPr="004120AA" w:rsidRDefault="0003384A" w:rsidP="00AE5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</w:t>
            </w:r>
          </w:p>
        </w:tc>
      </w:tr>
      <w:tr w:rsidR="0003384A" w:rsidRPr="004120AA" w14:paraId="4FBAE953" w14:textId="77777777" w:rsidTr="00AE5218">
        <w:trPr>
          <w:trHeight w:val="32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DA56" w14:textId="77777777" w:rsidR="0003384A" w:rsidRPr="004120AA" w:rsidRDefault="0003384A" w:rsidP="00AE5218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0AA">
              <w:rPr>
                <w:rFonts w:ascii="Arial" w:hAnsi="Arial" w:cs="Arial"/>
                <w:b/>
                <w:bCs/>
              </w:rPr>
              <w:t xml:space="preserve">Celkem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E304" w14:textId="77777777" w:rsidR="0003384A" w:rsidRPr="004120AA" w:rsidRDefault="0003384A" w:rsidP="00AE5218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0AA">
              <w:rPr>
                <w:rFonts w:ascii="Arial" w:hAnsi="Arial" w:cs="Arial"/>
                <w:b/>
                <w:bCs/>
              </w:rPr>
              <w:t>139,40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FF1F" w14:textId="77777777" w:rsidR="0003384A" w:rsidRPr="004120AA" w:rsidRDefault="0003384A" w:rsidP="00AE5218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0AA">
              <w:rPr>
                <w:rFonts w:ascii="Arial" w:hAnsi="Arial" w:cs="Arial"/>
                <w:b/>
                <w:bCs/>
              </w:rPr>
              <w:t>1 727,02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2D0B" w14:textId="77777777" w:rsidR="0003384A" w:rsidRPr="004120AA" w:rsidRDefault="0003384A" w:rsidP="00AE5218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0AA">
              <w:rPr>
                <w:rFonts w:ascii="Arial" w:hAnsi="Arial" w:cs="Arial"/>
                <w:b/>
                <w:bCs/>
              </w:rPr>
              <w:t>20 192,24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CBE3D" w14:textId="77777777" w:rsidR="0003384A" w:rsidRPr="004120AA" w:rsidRDefault="0003384A" w:rsidP="00AE5218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0AA">
              <w:rPr>
                <w:rFonts w:ascii="Arial" w:hAnsi="Arial" w:cs="Arial"/>
                <w:b/>
                <w:bCs/>
              </w:rPr>
              <w:t>22 058,65</w:t>
            </w:r>
          </w:p>
        </w:tc>
      </w:tr>
    </w:tbl>
    <w:p w14:paraId="5095F3B6" w14:textId="77777777" w:rsidR="0003384A" w:rsidRPr="004120AA" w:rsidRDefault="0003384A" w:rsidP="000338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8"/>
        <w:gridCol w:w="1995"/>
        <w:gridCol w:w="1945"/>
        <w:gridCol w:w="1944"/>
        <w:gridCol w:w="2366"/>
      </w:tblGrid>
      <w:tr w:rsidR="0003384A" w:rsidRPr="004120AA" w14:paraId="35D4C76B" w14:textId="77777777" w:rsidTr="00AE5218">
        <w:trPr>
          <w:trHeight w:val="856"/>
        </w:trPr>
        <w:tc>
          <w:tcPr>
            <w:tcW w:w="971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36FCD" w14:textId="77777777" w:rsidR="0003384A" w:rsidRPr="004120AA" w:rsidRDefault="0003384A" w:rsidP="00AE5218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0AA">
              <w:rPr>
                <w:rFonts w:ascii="Arial" w:hAnsi="Arial" w:cs="Arial"/>
                <w:b/>
                <w:bCs/>
              </w:rPr>
              <w:t>Výše vyplacených žádostí za roky dle konce bonusového období dle zákona č.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4120AA">
              <w:rPr>
                <w:rFonts w:ascii="Arial" w:hAnsi="Arial" w:cs="Arial"/>
                <w:b/>
                <w:bCs/>
              </w:rPr>
              <w:t>461/2020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4120AA">
              <w:rPr>
                <w:rFonts w:ascii="Arial" w:hAnsi="Arial" w:cs="Arial"/>
                <w:b/>
                <w:bCs/>
              </w:rPr>
              <w:t>Sb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4120AA"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 xml:space="preserve">zákona </w:t>
            </w:r>
            <w:r w:rsidRPr="004120AA">
              <w:rPr>
                <w:rFonts w:ascii="Arial" w:hAnsi="Arial" w:cs="Arial"/>
                <w:b/>
                <w:bCs/>
              </w:rPr>
              <w:t xml:space="preserve">č. 95/2021 Sb. a </w:t>
            </w:r>
            <w:r>
              <w:rPr>
                <w:rFonts w:ascii="Arial" w:hAnsi="Arial" w:cs="Arial"/>
                <w:b/>
                <w:bCs/>
              </w:rPr>
              <w:t xml:space="preserve">zákona </w:t>
            </w:r>
            <w:r w:rsidRPr="004120AA">
              <w:rPr>
                <w:rFonts w:ascii="Arial" w:hAnsi="Arial" w:cs="Arial"/>
                <w:b/>
                <w:bCs/>
              </w:rPr>
              <w:t xml:space="preserve">č. 519/2021 Sb. </w:t>
            </w:r>
            <w:r>
              <w:rPr>
                <w:rFonts w:ascii="Arial" w:hAnsi="Arial" w:cs="Arial"/>
                <w:b/>
                <w:bCs/>
              </w:rPr>
              <w:t>(</w:t>
            </w:r>
            <w:r w:rsidRPr="004120AA">
              <w:rPr>
                <w:rFonts w:ascii="Arial" w:hAnsi="Arial" w:cs="Arial"/>
                <w:b/>
                <w:bCs/>
              </w:rPr>
              <w:t>v mil. Kč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03384A" w:rsidRPr="004120AA" w14:paraId="7526EF6D" w14:textId="77777777" w:rsidTr="00AE5218">
        <w:trPr>
          <w:trHeight w:val="480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1356" w14:textId="77777777" w:rsidR="0003384A" w:rsidRPr="004120AA" w:rsidRDefault="0003384A" w:rsidP="00AE5218">
            <w:pPr>
              <w:jc w:val="center"/>
              <w:rPr>
                <w:rFonts w:ascii="Arial" w:hAnsi="Arial" w:cs="Arial"/>
              </w:rPr>
            </w:pPr>
            <w:r w:rsidRPr="004120AA">
              <w:rPr>
                <w:rFonts w:ascii="Arial" w:hAnsi="Arial" w:cs="Arial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9E51" w14:textId="77777777" w:rsidR="0003384A" w:rsidRPr="004120AA" w:rsidRDefault="0003384A" w:rsidP="00AE5218">
            <w:pPr>
              <w:jc w:val="center"/>
              <w:rPr>
                <w:rFonts w:ascii="Arial" w:hAnsi="Arial" w:cs="Arial"/>
              </w:rPr>
            </w:pPr>
            <w:r w:rsidRPr="004120AA">
              <w:rPr>
                <w:rFonts w:ascii="Arial" w:hAnsi="Arial" w:cs="Arial"/>
              </w:rPr>
              <w:t>2020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3542" w14:textId="77777777" w:rsidR="0003384A" w:rsidRPr="004120AA" w:rsidRDefault="0003384A" w:rsidP="00AE5218">
            <w:pPr>
              <w:jc w:val="center"/>
              <w:rPr>
                <w:rFonts w:ascii="Arial" w:hAnsi="Arial" w:cs="Arial"/>
              </w:rPr>
            </w:pPr>
            <w:r w:rsidRPr="004120AA">
              <w:rPr>
                <w:rFonts w:ascii="Arial" w:hAnsi="Arial" w:cs="Arial"/>
              </w:rPr>
              <w:t>2021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08C8" w14:textId="77777777" w:rsidR="0003384A" w:rsidRPr="004120AA" w:rsidRDefault="0003384A" w:rsidP="00AE5218">
            <w:pPr>
              <w:jc w:val="center"/>
              <w:rPr>
                <w:rFonts w:ascii="Arial" w:hAnsi="Arial" w:cs="Arial"/>
              </w:rPr>
            </w:pPr>
            <w:r w:rsidRPr="004120AA">
              <w:rPr>
                <w:rFonts w:ascii="Arial" w:hAnsi="Arial" w:cs="Arial"/>
              </w:rPr>
              <w:t>2022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8B865" w14:textId="77777777" w:rsidR="0003384A" w:rsidRPr="004120AA" w:rsidRDefault="0003384A" w:rsidP="00AE5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</w:t>
            </w:r>
          </w:p>
        </w:tc>
      </w:tr>
      <w:tr w:rsidR="0003384A" w:rsidRPr="004120AA" w14:paraId="17FAE88D" w14:textId="77777777" w:rsidTr="00AE5218">
        <w:trPr>
          <w:trHeight w:val="333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28A6" w14:textId="77777777" w:rsidR="0003384A" w:rsidRPr="004120AA" w:rsidRDefault="0003384A" w:rsidP="00AE5218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0AA">
              <w:rPr>
                <w:rFonts w:ascii="Arial" w:hAnsi="Arial" w:cs="Arial"/>
                <w:b/>
                <w:bCs/>
              </w:rPr>
              <w:t xml:space="preserve">Celkem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527A" w14:textId="77777777" w:rsidR="0003384A" w:rsidRPr="004120AA" w:rsidRDefault="0003384A" w:rsidP="00AE5218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0AA">
              <w:rPr>
                <w:rFonts w:ascii="Arial" w:hAnsi="Arial" w:cs="Arial"/>
                <w:b/>
                <w:bCs/>
              </w:rPr>
              <w:t>4 272,51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FAFF" w14:textId="77777777" w:rsidR="0003384A" w:rsidRPr="004120AA" w:rsidRDefault="0003384A" w:rsidP="00AE5218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0AA">
              <w:rPr>
                <w:rFonts w:ascii="Arial" w:hAnsi="Arial" w:cs="Arial"/>
                <w:b/>
                <w:bCs/>
              </w:rPr>
              <w:t>20 140,09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D8F6" w14:textId="77777777" w:rsidR="0003384A" w:rsidRPr="004120AA" w:rsidRDefault="0003384A" w:rsidP="00AE5218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0AA">
              <w:rPr>
                <w:rFonts w:ascii="Arial" w:hAnsi="Arial" w:cs="Arial"/>
                <w:b/>
                <w:bCs/>
              </w:rPr>
              <w:t>1 846,47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D246B" w14:textId="77777777" w:rsidR="0003384A" w:rsidRPr="004120AA" w:rsidRDefault="0003384A" w:rsidP="00AE5218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0AA">
              <w:rPr>
                <w:rFonts w:ascii="Arial" w:hAnsi="Arial" w:cs="Arial"/>
                <w:b/>
                <w:bCs/>
              </w:rPr>
              <w:t>26 259,07</w:t>
            </w:r>
          </w:p>
        </w:tc>
      </w:tr>
    </w:tbl>
    <w:p w14:paraId="0FB82E3C" w14:textId="77777777" w:rsidR="0003384A" w:rsidRPr="004120AA" w:rsidRDefault="0003384A" w:rsidP="0003384A">
      <w:pPr>
        <w:pStyle w:val="-wm-msonormal"/>
        <w:spacing w:before="0" w:beforeAutospacing="0" w:after="0" w:afterAutospacing="0" w:line="276" w:lineRule="auto"/>
        <w:ind w:left="714"/>
        <w:jc w:val="both"/>
        <w:rPr>
          <w:rFonts w:ascii="Arial" w:hAnsi="Arial" w:cs="Arial"/>
        </w:rPr>
      </w:pPr>
    </w:p>
    <w:p w14:paraId="27D27270" w14:textId="77777777" w:rsidR="0003384A" w:rsidRPr="004120AA" w:rsidRDefault="0003384A" w:rsidP="0003384A">
      <w:pPr>
        <w:pStyle w:val="Zkladntext"/>
        <w:kinsoku w:val="0"/>
        <w:overflowPunct w:val="0"/>
        <w:spacing w:before="0" w:line="276" w:lineRule="auto"/>
        <w:ind w:left="0" w:firstLine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Ad 7. a 8. Orgány </w:t>
      </w:r>
      <w:r w:rsidRPr="004120AA">
        <w:rPr>
          <w:sz w:val="22"/>
          <w:szCs w:val="22"/>
          <w:shd w:val="clear" w:color="auto" w:fill="FFFFFF"/>
        </w:rPr>
        <w:t>Finanční správ</w:t>
      </w:r>
      <w:r>
        <w:rPr>
          <w:sz w:val="22"/>
          <w:szCs w:val="22"/>
          <w:shd w:val="clear" w:color="auto" w:fill="FFFFFF"/>
        </w:rPr>
        <w:t>y ČR</w:t>
      </w:r>
      <w:r w:rsidRPr="004120AA">
        <w:rPr>
          <w:sz w:val="22"/>
          <w:szCs w:val="22"/>
          <w:shd w:val="clear" w:color="auto" w:fill="FFFFFF"/>
        </w:rPr>
        <w:t xml:space="preserve"> podal</w:t>
      </w:r>
      <w:r>
        <w:rPr>
          <w:sz w:val="22"/>
          <w:szCs w:val="22"/>
          <w:shd w:val="clear" w:color="auto" w:fill="FFFFFF"/>
        </w:rPr>
        <w:t>y</w:t>
      </w:r>
      <w:r w:rsidRPr="004120AA">
        <w:rPr>
          <w:sz w:val="22"/>
          <w:szCs w:val="22"/>
          <w:shd w:val="clear" w:color="auto" w:fill="FFFFFF"/>
        </w:rPr>
        <w:t xml:space="preserve"> k 31. 12. 2022 </w:t>
      </w:r>
      <w:r>
        <w:rPr>
          <w:sz w:val="22"/>
          <w:szCs w:val="22"/>
          <w:shd w:val="clear" w:color="auto" w:fill="FFFFFF"/>
        </w:rPr>
        <w:t xml:space="preserve">celkem </w:t>
      </w:r>
      <w:r w:rsidRPr="004120AA">
        <w:rPr>
          <w:sz w:val="22"/>
          <w:szCs w:val="22"/>
          <w:shd w:val="clear" w:color="auto" w:fill="FFFFFF"/>
        </w:rPr>
        <w:t xml:space="preserve">172 trestních oznámení ve věci </w:t>
      </w:r>
      <w:r>
        <w:rPr>
          <w:sz w:val="22"/>
          <w:szCs w:val="22"/>
          <w:shd w:val="clear" w:color="auto" w:fill="FFFFFF"/>
        </w:rPr>
        <w:t>KB</w:t>
      </w:r>
      <w:r w:rsidRPr="004120AA">
        <w:rPr>
          <w:sz w:val="22"/>
          <w:szCs w:val="22"/>
          <w:shd w:val="clear" w:color="auto" w:fill="FFFFFF"/>
        </w:rPr>
        <w:t xml:space="preserve"> na částku </w:t>
      </w:r>
      <w:r>
        <w:rPr>
          <w:sz w:val="22"/>
          <w:szCs w:val="22"/>
          <w:shd w:val="clear" w:color="auto" w:fill="FFFFFF"/>
        </w:rPr>
        <w:t xml:space="preserve">cca </w:t>
      </w:r>
      <w:r w:rsidRPr="004120AA">
        <w:rPr>
          <w:sz w:val="22"/>
          <w:szCs w:val="22"/>
          <w:shd w:val="clear" w:color="auto" w:fill="FFFFFF"/>
        </w:rPr>
        <w:t xml:space="preserve">70 640 000 Kč. </w:t>
      </w:r>
      <w:r>
        <w:rPr>
          <w:sz w:val="22"/>
          <w:szCs w:val="22"/>
          <w:shd w:val="clear" w:color="auto" w:fill="FFFFFF"/>
        </w:rPr>
        <w:t>O</w:t>
      </w:r>
      <w:r w:rsidRPr="004120AA">
        <w:rPr>
          <w:sz w:val="22"/>
          <w:szCs w:val="22"/>
          <w:shd w:val="clear" w:color="auto" w:fill="FFFFFF"/>
        </w:rPr>
        <w:t>známení o podezření ze spáchání trestného činu byla podávána dle § 240 a dle § 209 zákona č. 40/2009 Sb., trestního zákoníku</w:t>
      </w:r>
      <w:r>
        <w:rPr>
          <w:sz w:val="22"/>
          <w:szCs w:val="22"/>
          <w:shd w:val="clear" w:color="auto" w:fill="FFFFFF"/>
        </w:rPr>
        <w:t>,</w:t>
      </w:r>
      <w:r w:rsidRPr="004120AA">
        <w:rPr>
          <w:sz w:val="22"/>
          <w:szCs w:val="22"/>
          <w:shd w:val="clear" w:color="auto" w:fill="FFFFFF"/>
        </w:rPr>
        <w:t xml:space="preserve"> ve znění </w:t>
      </w:r>
      <w:r>
        <w:rPr>
          <w:sz w:val="22"/>
          <w:szCs w:val="22"/>
          <w:shd w:val="clear" w:color="auto" w:fill="FFFFFF"/>
        </w:rPr>
        <w:t>pozdějších předpisů</w:t>
      </w:r>
      <w:r w:rsidRPr="004120AA">
        <w:rPr>
          <w:sz w:val="22"/>
          <w:szCs w:val="22"/>
          <w:shd w:val="clear" w:color="auto" w:fill="FFFFFF"/>
        </w:rPr>
        <w:t xml:space="preserve">. Ve většině případů se jednalo o zneužití identity žadatelů. </w:t>
      </w:r>
    </w:p>
    <w:p w14:paraId="4F7D06D5" w14:textId="77777777" w:rsidR="0003384A" w:rsidRDefault="0003384A" w:rsidP="0003384A">
      <w:pPr>
        <w:jc w:val="both"/>
        <w:rPr>
          <w:rFonts w:ascii="Arial" w:hAnsi="Arial" w:cs="Arial"/>
        </w:rPr>
      </w:pPr>
    </w:p>
    <w:p w14:paraId="0A7BF28C" w14:textId="77777777" w:rsidR="0003384A" w:rsidRPr="006B7954" w:rsidRDefault="0003384A" w:rsidP="0003384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9. </w:t>
      </w:r>
      <w:r w:rsidRPr="006B7954">
        <w:rPr>
          <w:rFonts w:ascii="Arial" w:hAnsi="Arial" w:cs="Arial"/>
        </w:rPr>
        <w:t>Nejčastějším problémem byly chybějící podpisy (podepsání samotné žádosti a poté i</w:t>
      </w:r>
      <w:r>
        <w:rPr>
          <w:rFonts w:ascii="Arial" w:hAnsi="Arial" w:cs="Arial"/>
        </w:rPr>
        <w:t> </w:t>
      </w:r>
      <w:r w:rsidRPr="006B7954">
        <w:rPr>
          <w:rFonts w:ascii="Arial" w:hAnsi="Arial" w:cs="Arial"/>
        </w:rPr>
        <w:t>čestného prohlášení). Další častá chyba se vyskytovala u žádostí společníků malých společností s ručením omezeným. Společníci, jejichž bydliště bylo v jiném městě než sídlo společnosti, měli vyplněnou žádost o kompenzační bonus zasílat na příslušný finanční úřad dle místa svého bydliště, nikoliv dle sídla společnosti, tj. na územní pracoviště finančního úřadu, kam podávají vlastní přiznání k dani z příjmů fyzických osob. V četných případech však docházelo k situaci, kdy byly ze strany společníků podávány žádosti na místně příslušný finanční úřad sídla společnosti.</w:t>
      </w:r>
      <w:r>
        <w:rPr>
          <w:rFonts w:ascii="Arial" w:hAnsi="Arial" w:cs="Arial"/>
        </w:rPr>
        <w:t xml:space="preserve"> Tato chyba však neměla na možnost přiznání KB samozřejmě vliv, územní pracoviště finančních úřadů si dle zákona podání standardně předávají, resp. postupují.</w:t>
      </w:r>
    </w:p>
    <w:p w14:paraId="50149E2E" w14:textId="77777777" w:rsidR="0003384A" w:rsidRPr="006B7954" w:rsidRDefault="0003384A" w:rsidP="0003384A">
      <w:pPr>
        <w:spacing w:after="240"/>
        <w:jc w:val="both"/>
        <w:rPr>
          <w:rFonts w:ascii="Arial" w:hAnsi="Arial" w:cs="Arial"/>
        </w:rPr>
      </w:pPr>
      <w:r w:rsidRPr="006B7954">
        <w:rPr>
          <w:rFonts w:ascii="Arial" w:hAnsi="Arial" w:cs="Arial"/>
        </w:rPr>
        <w:t xml:space="preserve">U společníků malých společností s ručením omezeným docházelo rovněž k problémům </w:t>
      </w:r>
      <w:r>
        <w:rPr>
          <w:rFonts w:ascii="Arial" w:hAnsi="Arial" w:cs="Arial"/>
        </w:rPr>
        <w:t xml:space="preserve">při autorizaci žádosti </w:t>
      </w:r>
      <w:r w:rsidRPr="000A5962">
        <w:rPr>
          <w:rFonts w:ascii="Arial" w:hAnsi="Arial" w:cs="Arial"/>
        </w:rPr>
        <w:t>oprávněn</w:t>
      </w:r>
      <w:r>
        <w:rPr>
          <w:rFonts w:ascii="Arial" w:hAnsi="Arial" w:cs="Arial"/>
        </w:rPr>
        <w:t>ou</w:t>
      </w:r>
      <w:r w:rsidRPr="000A5962">
        <w:rPr>
          <w:rFonts w:ascii="Arial" w:hAnsi="Arial" w:cs="Arial"/>
        </w:rPr>
        <w:t xml:space="preserve"> osob</w:t>
      </w:r>
      <w:r>
        <w:rPr>
          <w:rFonts w:ascii="Arial" w:hAnsi="Arial" w:cs="Arial"/>
        </w:rPr>
        <w:t>ou</w:t>
      </w:r>
      <w:r w:rsidRPr="006B7954">
        <w:rPr>
          <w:rFonts w:ascii="Arial" w:hAnsi="Arial" w:cs="Arial"/>
        </w:rPr>
        <w:t>. Žadatelem o</w:t>
      </w:r>
      <w:r>
        <w:rPr>
          <w:rFonts w:ascii="Arial" w:hAnsi="Arial" w:cs="Arial"/>
        </w:rPr>
        <w:t> </w:t>
      </w:r>
      <w:r w:rsidRPr="006B7954">
        <w:rPr>
          <w:rFonts w:ascii="Arial" w:hAnsi="Arial" w:cs="Arial"/>
        </w:rPr>
        <w:t>kompenzační bonus byl společník, tj.</w:t>
      </w:r>
      <w:r>
        <w:rPr>
          <w:rFonts w:ascii="Arial" w:hAnsi="Arial" w:cs="Arial"/>
        </w:rPr>
        <w:t> </w:t>
      </w:r>
      <w:r w:rsidRPr="006B7954">
        <w:rPr>
          <w:rFonts w:ascii="Arial" w:hAnsi="Arial" w:cs="Arial"/>
        </w:rPr>
        <w:t xml:space="preserve">fyzická osoba. Aby byla žádost </w:t>
      </w:r>
      <w:r>
        <w:rPr>
          <w:rFonts w:ascii="Arial" w:hAnsi="Arial" w:cs="Arial"/>
        </w:rPr>
        <w:t>autorizována</w:t>
      </w:r>
      <w:r w:rsidRPr="006B7954">
        <w:rPr>
          <w:rFonts w:ascii="Arial" w:hAnsi="Arial" w:cs="Arial"/>
        </w:rPr>
        <w:t xml:space="preserve"> oprávněnou osobou, bylo v případě podání žádosti prostřednictvím datové schránky nutné, aby žádající společník odeslal žádost ze své osobní datové schránky, nikoliv z datové schránky společnosti. Pokud </w:t>
      </w:r>
      <w:r>
        <w:rPr>
          <w:rFonts w:ascii="Arial" w:hAnsi="Arial" w:cs="Arial"/>
        </w:rPr>
        <w:t xml:space="preserve">tedy byla </w:t>
      </w:r>
      <w:r w:rsidRPr="006B7954">
        <w:rPr>
          <w:rFonts w:ascii="Arial" w:hAnsi="Arial" w:cs="Arial"/>
        </w:rPr>
        <w:t>žádost odeslána z datové schránky společnosti, musela být podepsána stejně jako v případě zaslání žádosti prostřednictvím e</w:t>
      </w:r>
      <w:r>
        <w:rPr>
          <w:rFonts w:ascii="Arial" w:hAnsi="Arial" w:cs="Arial"/>
        </w:rPr>
        <w:noBreakHyphen/>
      </w:r>
      <w:r w:rsidRPr="006B7954">
        <w:rPr>
          <w:rFonts w:ascii="Arial" w:hAnsi="Arial" w:cs="Arial"/>
        </w:rPr>
        <w:t xml:space="preserve">mailu, tzn. žádost musel žádající společník vytisknout, vlastnoručně podepsat, naskenovat a </w:t>
      </w:r>
      <w:r>
        <w:rPr>
          <w:rFonts w:ascii="Arial" w:hAnsi="Arial" w:cs="Arial"/>
        </w:rPr>
        <w:t xml:space="preserve">až následně odeslat prostřednictvím </w:t>
      </w:r>
      <w:r w:rsidRPr="006B7954">
        <w:rPr>
          <w:rFonts w:ascii="Arial" w:hAnsi="Arial" w:cs="Arial"/>
        </w:rPr>
        <w:t>datové schránky společnosti. Stejný postup byl uplatňován i</w:t>
      </w:r>
      <w:r>
        <w:rPr>
          <w:rFonts w:ascii="Arial" w:hAnsi="Arial" w:cs="Arial"/>
        </w:rPr>
        <w:t> </w:t>
      </w:r>
      <w:r w:rsidRPr="006B7954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 xml:space="preserve">autorizaci </w:t>
      </w:r>
      <w:r w:rsidRPr="006B7954">
        <w:rPr>
          <w:rFonts w:ascii="Arial" w:hAnsi="Arial" w:cs="Arial"/>
        </w:rPr>
        <w:t>čestn</w:t>
      </w:r>
      <w:r>
        <w:rPr>
          <w:rFonts w:ascii="Arial" w:hAnsi="Arial" w:cs="Arial"/>
        </w:rPr>
        <w:t>ých</w:t>
      </w:r>
      <w:r w:rsidRPr="006B7954">
        <w:rPr>
          <w:rFonts w:ascii="Arial" w:hAnsi="Arial" w:cs="Arial"/>
        </w:rPr>
        <w:t xml:space="preserve"> prohlášení</w:t>
      </w:r>
      <w:r>
        <w:rPr>
          <w:rFonts w:ascii="Arial" w:hAnsi="Arial" w:cs="Arial"/>
        </w:rPr>
        <w:t>, neboť i zde muselo být potvrzeno, že se jedná o prohlášení konkrétní fyzické osoby – žadatele, a nikoliv právnické osoby</w:t>
      </w:r>
      <w:r w:rsidRPr="006B795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</w:t>
      </w:r>
      <w:r w:rsidRPr="006B7954">
        <w:rPr>
          <w:rFonts w:ascii="Arial" w:hAnsi="Arial" w:cs="Arial"/>
        </w:rPr>
        <w:t>rávnická osoba (společnost s ručením omezeným) nemohla být žadatelem.</w:t>
      </w:r>
    </w:p>
    <w:p w14:paraId="420522D4" w14:textId="77777777" w:rsidR="0003384A" w:rsidRPr="006B7954" w:rsidRDefault="0003384A" w:rsidP="0003384A">
      <w:pPr>
        <w:spacing w:after="240"/>
        <w:jc w:val="both"/>
        <w:rPr>
          <w:rFonts w:ascii="Arial" w:hAnsi="Arial" w:cs="Arial"/>
        </w:rPr>
      </w:pPr>
      <w:r w:rsidRPr="006B7954">
        <w:rPr>
          <w:rFonts w:ascii="Arial" w:hAnsi="Arial" w:cs="Arial"/>
        </w:rPr>
        <w:t>Výše uvedené chyby či nedostatky však bylo možné detekovat již v průběhu zpracování žádostí o kompenzační bonus. Nedocházelo tedy k situaci, že by na základě chyb tohoto typu byly žadatelům vypláceny kompenzační bonusy</w:t>
      </w:r>
      <w:r>
        <w:rPr>
          <w:rFonts w:ascii="Arial" w:hAnsi="Arial" w:cs="Arial"/>
        </w:rPr>
        <w:t>, aniž by byly tyto chyby před tím odstraněny</w:t>
      </w:r>
      <w:r w:rsidRPr="006B7954">
        <w:rPr>
          <w:rFonts w:ascii="Arial" w:hAnsi="Arial" w:cs="Arial"/>
        </w:rPr>
        <w:t xml:space="preserve">. </w:t>
      </w:r>
    </w:p>
    <w:p w14:paraId="5A15E9DE" w14:textId="77777777" w:rsidR="0003384A" w:rsidRPr="006B7954" w:rsidRDefault="0003384A" w:rsidP="0003384A">
      <w:pPr>
        <w:spacing w:after="240"/>
        <w:jc w:val="both"/>
        <w:rPr>
          <w:rFonts w:ascii="Arial" w:hAnsi="Arial" w:cs="Arial"/>
        </w:rPr>
      </w:pPr>
      <w:r w:rsidRPr="006B7954">
        <w:rPr>
          <w:rFonts w:ascii="Arial" w:hAnsi="Arial" w:cs="Arial"/>
        </w:rPr>
        <w:t xml:space="preserve">Zákonnou povinností správce daně bylo zároveň prověřovat, zda žadatelé o kompenzační bonus nezneužívají této státní pomoci, a proto </w:t>
      </w:r>
      <w:r>
        <w:rPr>
          <w:rFonts w:ascii="Arial" w:hAnsi="Arial" w:cs="Arial"/>
        </w:rPr>
        <w:t xml:space="preserve">byla </w:t>
      </w:r>
      <w:r w:rsidRPr="006B7954">
        <w:rPr>
          <w:rFonts w:ascii="Arial" w:hAnsi="Arial" w:cs="Arial"/>
        </w:rPr>
        <w:t>od jara 2020 kontinuálně monitorov</w:t>
      </w:r>
      <w:r>
        <w:rPr>
          <w:rFonts w:ascii="Arial" w:hAnsi="Arial" w:cs="Arial"/>
        </w:rPr>
        <w:t xml:space="preserve">ána </w:t>
      </w:r>
      <w:r w:rsidRPr="006B7954">
        <w:rPr>
          <w:rFonts w:ascii="Arial" w:hAnsi="Arial" w:cs="Arial"/>
        </w:rPr>
        <w:t>výplat</w:t>
      </w:r>
      <w:r>
        <w:rPr>
          <w:rFonts w:ascii="Arial" w:hAnsi="Arial" w:cs="Arial"/>
        </w:rPr>
        <w:t>a</w:t>
      </w:r>
      <w:r w:rsidRPr="006B7954">
        <w:rPr>
          <w:rFonts w:ascii="Arial" w:hAnsi="Arial" w:cs="Arial"/>
        </w:rPr>
        <w:t xml:space="preserve"> kompenzačního bonusu.</w:t>
      </w:r>
      <w:r>
        <w:rPr>
          <w:rFonts w:ascii="Arial" w:hAnsi="Arial" w:cs="Arial"/>
        </w:rPr>
        <w:t xml:space="preserve"> Správci daně</w:t>
      </w:r>
      <w:r w:rsidRPr="006B7954">
        <w:rPr>
          <w:rFonts w:ascii="Arial" w:hAnsi="Arial" w:cs="Arial"/>
        </w:rPr>
        <w:t xml:space="preserve"> oslovoval</w:t>
      </w:r>
      <w:r>
        <w:rPr>
          <w:rFonts w:ascii="Arial" w:hAnsi="Arial" w:cs="Arial"/>
        </w:rPr>
        <w:t>i</w:t>
      </w:r>
      <w:r w:rsidRPr="006B7954">
        <w:rPr>
          <w:rFonts w:ascii="Arial" w:hAnsi="Arial" w:cs="Arial"/>
        </w:rPr>
        <w:t xml:space="preserve"> žadatele o kompenzační bonus, u</w:t>
      </w:r>
      <w:r>
        <w:rPr>
          <w:rFonts w:ascii="Arial" w:hAnsi="Arial" w:cs="Arial"/>
        </w:rPr>
        <w:t> </w:t>
      </w:r>
      <w:r w:rsidRPr="006B7954">
        <w:rPr>
          <w:rFonts w:ascii="Arial" w:hAnsi="Arial" w:cs="Arial"/>
        </w:rPr>
        <w:t xml:space="preserve">kterých bylo na základě spolupráce s jinými resorty zjištěno, že souběžně čerpali kompenzační bonusy a covidové podpory vyplácené jinými resorty (např. Ministerstvem průmyslu a obchodu, Ministerstvem práce </w:t>
      </w:r>
      <w:r>
        <w:rPr>
          <w:rFonts w:ascii="Arial" w:hAnsi="Arial" w:cs="Arial"/>
        </w:rPr>
        <w:t>a </w:t>
      </w:r>
      <w:r w:rsidRPr="006B7954">
        <w:rPr>
          <w:rFonts w:ascii="Arial" w:hAnsi="Arial" w:cs="Arial"/>
        </w:rPr>
        <w:t>sociálních věcí), u nichž zákon souběh výslovně zakazoval.</w:t>
      </w:r>
    </w:p>
    <w:p w14:paraId="15B9D519" w14:textId="77777777" w:rsidR="0003384A" w:rsidRPr="006B7954" w:rsidRDefault="0003384A" w:rsidP="0003384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Byla</w:t>
      </w:r>
      <w:r w:rsidRPr="006B7954">
        <w:rPr>
          <w:rFonts w:ascii="Arial" w:hAnsi="Arial" w:cs="Arial"/>
        </w:rPr>
        <w:t xml:space="preserve"> prověřov</w:t>
      </w:r>
      <w:r>
        <w:rPr>
          <w:rFonts w:ascii="Arial" w:hAnsi="Arial" w:cs="Arial"/>
        </w:rPr>
        <w:t>ána</w:t>
      </w:r>
      <w:r w:rsidRPr="006B7954">
        <w:rPr>
          <w:rFonts w:ascii="Arial" w:hAnsi="Arial" w:cs="Arial"/>
        </w:rPr>
        <w:t xml:space="preserve"> oprávněnost vyplacených kompenzačních bonusů u OSVČ např.</w:t>
      </w:r>
      <w:r>
        <w:rPr>
          <w:rFonts w:ascii="Arial" w:hAnsi="Arial" w:cs="Arial"/>
        </w:rPr>
        <w:t> </w:t>
      </w:r>
      <w:r w:rsidRPr="006B7954">
        <w:rPr>
          <w:rFonts w:ascii="Arial" w:hAnsi="Arial" w:cs="Arial"/>
        </w:rPr>
        <w:t>v oblastech nedovolených souběhů (souběh kompenzačního bonusu a podpory v nezaměstnanosti či s jinými dotačními programy „Ošetřovné pro OSVČ“, „COVID nepokryté náklady“, „COVID 2021“ apod.), a to včetně oprávněnosti vyplacení kompenzačních bonusů společníkům malých společností s ručením omezeným (např. nedovolený souběh kompenzačního bonusu s podporou zaměstnání společníka „Antivirus“) či skutečnosti, zda žadatelům o kompenzační bonus na základě skutečností uvedených v jejich žádostech nevznikla povinnost podat daňová přiznání k dani z příjmů fyzických osob.</w:t>
      </w:r>
    </w:p>
    <w:p w14:paraId="1530E5B1" w14:textId="77777777" w:rsidR="0003384A" w:rsidRPr="006B7954" w:rsidRDefault="0003384A" w:rsidP="0003384A">
      <w:pPr>
        <w:spacing w:after="240"/>
        <w:jc w:val="both"/>
        <w:rPr>
          <w:rFonts w:ascii="Arial" w:hAnsi="Arial" w:cs="Arial"/>
        </w:rPr>
      </w:pPr>
      <w:r w:rsidRPr="006B7954">
        <w:rPr>
          <w:rFonts w:ascii="Arial" w:hAnsi="Arial" w:cs="Arial"/>
        </w:rPr>
        <w:t>Podpory neslučitelné s kompenzačním bonusem byly vymezeny (zpravidla však nikoliv výčtem konkrétních podpor) v § 3 odst. 3 písm. b) a c) zákona č. 159/2020 Sb.,</w:t>
      </w:r>
      <w:r w:rsidRPr="008C4A69">
        <w:rPr>
          <w:rFonts w:ascii="Arial" w:hAnsi="Arial" w:cs="Arial"/>
        </w:rPr>
        <w:t xml:space="preserve"> o kompenzačním bonusu v souvislosti s krizovými opatřeními v souvislosti s výskytem koronaviru SARS CoV-2,</w:t>
      </w:r>
      <w:r w:rsidRPr="006B7954">
        <w:rPr>
          <w:rFonts w:ascii="Arial" w:hAnsi="Arial" w:cs="Arial"/>
        </w:rPr>
        <w:t xml:space="preserve"> ve znění pozdějších předpisů, v § 8 odst. 1 písm. b) až d) zákona č. 461/2020 Sb., </w:t>
      </w:r>
      <w:r w:rsidRPr="008C4A69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Pr="008C4A69">
        <w:rPr>
          <w:rFonts w:ascii="Arial" w:hAnsi="Arial" w:cs="Arial"/>
        </w:rPr>
        <w:t>kompenzačním bonusu v souvislosti se zákazem nebo omezením podnikatelské činnosti v</w:t>
      </w:r>
      <w:r>
        <w:rPr>
          <w:rFonts w:ascii="Arial" w:hAnsi="Arial" w:cs="Arial"/>
        </w:rPr>
        <w:t> </w:t>
      </w:r>
      <w:r w:rsidRPr="008C4A69">
        <w:rPr>
          <w:rFonts w:ascii="Arial" w:hAnsi="Arial" w:cs="Arial"/>
        </w:rPr>
        <w:t>souvislosti s výskytem koronaviru SARS CoV-2</w:t>
      </w:r>
      <w:r>
        <w:rPr>
          <w:rFonts w:ascii="Arial" w:hAnsi="Arial" w:cs="Arial"/>
        </w:rPr>
        <w:t>,</w:t>
      </w:r>
      <w:r w:rsidRPr="008C4A69">
        <w:rPr>
          <w:rFonts w:ascii="Arial" w:hAnsi="Arial" w:cs="Arial"/>
        </w:rPr>
        <w:t xml:space="preserve"> </w:t>
      </w:r>
      <w:r w:rsidRPr="006B7954">
        <w:rPr>
          <w:rFonts w:ascii="Arial" w:hAnsi="Arial" w:cs="Arial"/>
        </w:rPr>
        <w:t>ve znění pozdějších přepisů, v</w:t>
      </w:r>
      <w:r>
        <w:rPr>
          <w:rFonts w:ascii="Arial" w:hAnsi="Arial" w:cs="Arial"/>
        </w:rPr>
        <w:t> </w:t>
      </w:r>
      <w:r w:rsidRPr="006B7954">
        <w:rPr>
          <w:rFonts w:ascii="Arial" w:hAnsi="Arial" w:cs="Arial"/>
        </w:rPr>
        <w:t>§ 9 odst. 1 písm. b) až d) zákona č. 95/2021 Sb.</w:t>
      </w:r>
      <w:r w:rsidRPr="008C4A69">
        <w:t xml:space="preserve"> </w:t>
      </w:r>
      <w:r w:rsidRPr="008C4A69">
        <w:rPr>
          <w:rFonts w:ascii="Arial" w:hAnsi="Arial" w:cs="Arial"/>
        </w:rPr>
        <w:t>o kompenzačním bonusu pro rok 2021</w:t>
      </w:r>
      <w:r>
        <w:rPr>
          <w:rFonts w:ascii="Arial" w:hAnsi="Arial" w:cs="Arial"/>
        </w:rPr>
        <w:t>,</w:t>
      </w:r>
      <w:r w:rsidRPr="008C4A69">
        <w:rPr>
          <w:rFonts w:ascii="Arial" w:hAnsi="Arial" w:cs="Arial"/>
        </w:rPr>
        <w:t xml:space="preserve"> </w:t>
      </w:r>
      <w:r w:rsidRPr="006B7954">
        <w:rPr>
          <w:rFonts w:ascii="Arial" w:hAnsi="Arial" w:cs="Arial"/>
        </w:rPr>
        <w:t>ve znění pozdějších přepisů, a v § 9 odst. 1 písm. b) a c) zákona č.</w:t>
      </w:r>
      <w:r>
        <w:rPr>
          <w:rFonts w:ascii="Arial" w:hAnsi="Arial" w:cs="Arial"/>
        </w:rPr>
        <w:t> </w:t>
      </w:r>
      <w:r w:rsidRPr="006B7954">
        <w:rPr>
          <w:rFonts w:ascii="Arial" w:hAnsi="Arial" w:cs="Arial"/>
        </w:rPr>
        <w:t>519/2021 Sb</w:t>
      </w:r>
      <w:r>
        <w:rPr>
          <w:rFonts w:ascii="Arial" w:hAnsi="Arial" w:cs="Arial"/>
        </w:rPr>
        <w:t xml:space="preserve">., </w:t>
      </w:r>
      <w:r w:rsidRPr="008C4A69">
        <w:rPr>
          <w:rFonts w:ascii="Arial" w:hAnsi="Arial" w:cs="Arial"/>
        </w:rPr>
        <w:t>o kompenzačním bonusu pro rok 2022</w:t>
      </w:r>
      <w:r>
        <w:rPr>
          <w:rFonts w:ascii="Arial" w:hAnsi="Arial" w:cs="Arial"/>
        </w:rPr>
        <w:t xml:space="preserve">, </w:t>
      </w:r>
      <w:r w:rsidRPr="006B7954">
        <w:rPr>
          <w:rFonts w:ascii="Arial" w:hAnsi="Arial" w:cs="Arial"/>
        </w:rPr>
        <w:t xml:space="preserve">ve znění pozdějších přepisů. Nárok na kompenzační bonus nebylo možné přiznat za kalendářní dny, za které subjekt kompenzačního bonusu obdržel podporu neslučitelnou s kompenzačním bonusem. </w:t>
      </w:r>
    </w:p>
    <w:p w14:paraId="0FE88754" w14:textId="77777777" w:rsidR="0003384A" w:rsidRPr="006B7954" w:rsidRDefault="0003384A" w:rsidP="0003384A">
      <w:pPr>
        <w:spacing w:after="240"/>
        <w:jc w:val="both"/>
        <w:rPr>
          <w:rFonts w:ascii="Arial" w:hAnsi="Arial" w:cs="Arial"/>
        </w:rPr>
      </w:pPr>
      <w:r w:rsidRPr="006B7954">
        <w:rPr>
          <w:rFonts w:ascii="Arial" w:hAnsi="Arial" w:cs="Arial"/>
        </w:rPr>
        <w:t>Podmínky pro vznik nároku na kompenzační bonus byly zpravidla známy dříve, než podmínky pro vznik nároku na podporu poskytovanou jinými poskytovateli (např. podpora „COVID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noBreakHyphen/>
        <w:t> </w:t>
      </w:r>
      <w:r w:rsidRPr="006B7954">
        <w:rPr>
          <w:rFonts w:ascii="Arial" w:hAnsi="Arial" w:cs="Arial"/>
        </w:rPr>
        <w:t>Nepokryté náklady“ či „COVID 21“ poskytovaná ze strany Ministerstva průmyslu a</w:t>
      </w:r>
      <w:r>
        <w:rPr>
          <w:rFonts w:ascii="Arial" w:hAnsi="Arial" w:cs="Arial"/>
        </w:rPr>
        <w:t> </w:t>
      </w:r>
      <w:r w:rsidRPr="006B7954">
        <w:rPr>
          <w:rFonts w:ascii="Arial" w:hAnsi="Arial" w:cs="Arial"/>
        </w:rPr>
        <w:t>obchodu). Pro příklad uvádíme, že výzva k programu „COVID 21“ byla vyhlášena 8.</w:t>
      </w:r>
      <w:r>
        <w:rPr>
          <w:rFonts w:ascii="Arial" w:hAnsi="Arial" w:cs="Arial"/>
        </w:rPr>
        <w:t> 3. </w:t>
      </w:r>
      <w:r w:rsidRPr="006B7954">
        <w:rPr>
          <w:rFonts w:ascii="Arial" w:hAnsi="Arial" w:cs="Arial"/>
        </w:rPr>
        <w:t>2021 a</w:t>
      </w:r>
      <w:r>
        <w:rPr>
          <w:rFonts w:ascii="Arial" w:hAnsi="Arial" w:cs="Arial"/>
        </w:rPr>
        <w:t> </w:t>
      </w:r>
      <w:r w:rsidRPr="006B7954">
        <w:rPr>
          <w:rFonts w:ascii="Arial" w:hAnsi="Arial" w:cs="Arial"/>
        </w:rPr>
        <w:t xml:space="preserve">příjem žádostí byl zahájen 12. </w:t>
      </w:r>
      <w:r>
        <w:rPr>
          <w:rFonts w:ascii="Arial" w:hAnsi="Arial" w:cs="Arial"/>
        </w:rPr>
        <w:t>4.</w:t>
      </w:r>
      <w:r w:rsidRPr="006B7954">
        <w:rPr>
          <w:rFonts w:ascii="Arial" w:hAnsi="Arial" w:cs="Arial"/>
        </w:rPr>
        <w:t xml:space="preserve"> 2021, výzva k programu „COVID </w:t>
      </w:r>
      <w:r>
        <w:rPr>
          <w:rFonts w:ascii="Arial" w:hAnsi="Arial" w:cs="Arial"/>
        </w:rPr>
        <w:noBreakHyphen/>
      </w:r>
      <w:r w:rsidRPr="006B7954">
        <w:rPr>
          <w:rFonts w:ascii="Arial" w:hAnsi="Arial" w:cs="Arial"/>
        </w:rPr>
        <w:t xml:space="preserve"> Nepokryté náklady“ byla vyhlášena 1. </w:t>
      </w:r>
      <w:r>
        <w:rPr>
          <w:rFonts w:ascii="Arial" w:hAnsi="Arial" w:cs="Arial"/>
        </w:rPr>
        <w:t>4.</w:t>
      </w:r>
      <w:r w:rsidRPr="006B7954">
        <w:rPr>
          <w:rFonts w:ascii="Arial" w:hAnsi="Arial" w:cs="Arial"/>
        </w:rPr>
        <w:t xml:space="preserve"> 2021 a příjem žádostí od 19. </w:t>
      </w:r>
      <w:r>
        <w:rPr>
          <w:rFonts w:ascii="Arial" w:hAnsi="Arial" w:cs="Arial"/>
        </w:rPr>
        <w:t>4.</w:t>
      </w:r>
      <w:r w:rsidRPr="006B7954">
        <w:rPr>
          <w:rFonts w:ascii="Arial" w:hAnsi="Arial" w:cs="Arial"/>
        </w:rPr>
        <w:t xml:space="preserve"> 2021 a</w:t>
      </w:r>
      <w:r>
        <w:rPr>
          <w:rFonts w:ascii="Arial" w:hAnsi="Arial" w:cs="Arial"/>
        </w:rPr>
        <w:t> </w:t>
      </w:r>
      <w:r w:rsidRPr="006B7954">
        <w:rPr>
          <w:rFonts w:ascii="Arial" w:hAnsi="Arial" w:cs="Arial"/>
        </w:rPr>
        <w:t xml:space="preserve">výzva k programu „COVID – Nepokryté náklady II“ byla vyhlášena 10. </w:t>
      </w:r>
      <w:r>
        <w:rPr>
          <w:rFonts w:ascii="Arial" w:hAnsi="Arial" w:cs="Arial"/>
        </w:rPr>
        <w:t>6.</w:t>
      </w:r>
      <w:r w:rsidRPr="006B7954">
        <w:rPr>
          <w:rFonts w:ascii="Arial" w:hAnsi="Arial" w:cs="Arial"/>
        </w:rPr>
        <w:t xml:space="preserve"> 2021 a příjem žádostí probíhal od 28. </w:t>
      </w:r>
      <w:r>
        <w:rPr>
          <w:rFonts w:ascii="Arial" w:hAnsi="Arial" w:cs="Arial"/>
        </w:rPr>
        <w:t>6.</w:t>
      </w:r>
      <w:r w:rsidRPr="006B7954">
        <w:rPr>
          <w:rFonts w:ascii="Arial" w:hAnsi="Arial" w:cs="Arial"/>
        </w:rPr>
        <w:t xml:space="preserve"> 2021. Poplatníci tak logicky žádali o kompenzační bonus dříve než o</w:t>
      </w:r>
      <w:r>
        <w:rPr>
          <w:rFonts w:ascii="Arial" w:hAnsi="Arial" w:cs="Arial"/>
        </w:rPr>
        <w:t> </w:t>
      </w:r>
      <w:r w:rsidRPr="006B7954">
        <w:rPr>
          <w:rFonts w:ascii="Arial" w:hAnsi="Arial" w:cs="Arial"/>
        </w:rPr>
        <w:t>jiné typy podpor, neboť podmínky pro poskytnutí podpory jiným poskytovatelem (např. stanovení rozhodného období) nebyly v okamžiku žádosti o kompenzační bonus zpravidla poplatníkům známy. Správci daně tak nemohli ověřit případnou nepovolenou kolizi s podporou poskytnutou jiným poskytovatelem v okamžiku zpracování žádosti o kompenzační bonus, neboť podmínky pro vznik nároku na</w:t>
      </w:r>
      <w:r>
        <w:rPr>
          <w:rFonts w:ascii="Arial" w:hAnsi="Arial" w:cs="Arial"/>
        </w:rPr>
        <w:t> </w:t>
      </w:r>
      <w:r w:rsidRPr="006B7954">
        <w:rPr>
          <w:rFonts w:ascii="Arial" w:hAnsi="Arial" w:cs="Arial"/>
        </w:rPr>
        <w:t>tyto jiné podpory nebyly všeobecně k dispozici, a to ani žadatelům o</w:t>
      </w:r>
      <w:r>
        <w:rPr>
          <w:rFonts w:ascii="Arial" w:hAnsi="Arial" w:cs="Arial"/>
        </w:rPr>
        <w:t> </w:t>
      </w:r>
      <w:r w:rsidRPr="006B7954">
        <w:rPr>
          <w:rFonts w:ascii="Arial" w:hAnsi="Arial" w:cs="Arial"/>
        </w:rPr>
        <w:t>kompenzační bonus, ani správcům daně.</w:t>
      </w:r>
    </w:p>
    <w:p w14:paraId="669C54B1" w14:textId="77777777" w:rsidR="0003384A" w:rsidRDefault="0003384A" w:rsidP="0003384A">
      <w:pPr>
        <w:spacing w:after="240"/>
        <w:jc w:val="both"/>
        <w:rPr>
          <w:rFonts w:ascii="Arial" w:hAnsi="Arial" w:cs="Arial"/>
        </w:rPr>
      </w:pPr>
      <w:r w:rsidRPr="006B7954">
        <w:rPr>
          <w:rFonts w:ascii="Arial" w:hAnsi="Arial" w:cs="Arial"/>
        </w:rPr>
        <w:t>Prověřování nepovoleného souběhu s podporami neslučitelnými s kompenzačním bonusem tedy probíhaly až následně, neboť tomu ani jinak být zpravidla nemohlo</w:t>
      </w:r>
      <w:r>
        <w:rPr>
          <w:rFonts w:ascii="Arial" w:hAnsi="Arial" w:cs="Arial"/>
        </w:rPr>
        <w:t xml:space="preserve">. </w:t>
      </w:r>
    </w:p>
    <w:p w14:paraId="1669E677" w14:textId="77777777" w:rsidR="0003384A" w:rsidRPr="002C7337" w:rsidRDefault="0003384A" w:rsidP="0003384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Dále bylo v</w:t>
      </w:r>
      <w:r w:rsidRPr="006B7954">
        <w:rPr>
          <w:rFonts w:ascii="Arial" w:hAnsi="Arial" w:cs="Arial"/>
        </w:rPr>
        <w:t xml:space="preserve"> rámci analytické činnosti </w:t>
      </w:r>
      <w:r>
        <w:rPr>
          <w:rFonts w:ascii="Arial" w:hAnsi="Arial" w:cs="Arial"/>
        </w:rPr>
        <w:t xml:space="preserve">rovněž </w:t>
      </w:r>
      <w:r w:rsidRPr="006B7954">
        <w:rPr>
          <w:rFonts w:ascii="Arial" w:hAnsi="Arial" w:cs="Arial"/>
        </w:rPr>
        <w:t>provádě</w:t>
      </w:r>
      <w:r>
        <w:rPr>
          <w:rFonts w:ascii="Arial" w:hAnsi="Arial" w:cs="Arial"/>
        </w:rPr>
        <w:t>no</w:t>
      </w:r>
      <w:r w:rsidRPr="006B7954">
        <w:rPr>
          <w:rFonts w:ascii="Arial" w:hAnsi="Arial" w:cs="Arial"/>
        </w:rPr>
        <w:t xml:space="preserve"> prověřování podezření na podání podvodných žádostí o kompenzační bonus ve smyslu zneužití identity, tj. podání žádosti bez vědomí daňového subjektu. Ve většině případů byly pokusy o neoprávněné vyplacení kompenzačního bonusu včas odhaleny a vyplacení kompenzačního bonusu bylo zastaveno.</w:t>
      </w:r>
      <w:r>
        <w:rPr>
          <w:rFonts w:ascii="Arial" w:hAnsi="Arial" w:cs="Arial"/>
        </w:rPr>
        <w:t xml:space="preserve"> </w:t>
      </w:r>
      <w:r w:rsidRPr="006B7954">
        <w:rPr>
          <w:rFonts w:ascii="Arial" w:hAnsi="Arial" w:cs="Arial"/>
        </w:rPr>
        <w:t xml:space="preserve">K úmyslu zneužít KB můžeme sdělit, že Finanční správa </w:t>
      </w:r>
      <w:r>
        <w:rPr>
          <w:rFonts w:ascii="Arial" w:hAnsi="Arial" w:cs="Arial"/>
        </w:rPr>
        <w:t xml:space="preserve">ČR </w:t>
      </w:r>
      <w:r w:rsidRPr="006B7954">
        <w:rPr>
          <w:rFonts w:ascii="Arial" w:hAnsi="Arial" w:cs="Arial"/>
        </w:rPr>
        <w:t>detekovala snahu různých osob</w:t>
      </w:r>
      <w:r>
        <w:rPr>
          <w:rFonts w:ascii="Arial" w:hAnsi="Arial" w:cs="Arial"/>
        </w:rPr>
        <w:t xml:space="preserve">, resp. </w:t>
      </w:r>
      <w:r w:rsidRPr="006B7954">
        <w:rPr>
          <w:rFonts w:ascii="Arial" w:hAnsi="Arial" w:cs="Arial"/>
        </w:rPr>
        <w:t xml:space="preserve">organizovaných skupin, které se snažily </w:t>
      </w:r>
      <w:r>
        <w:rPr>
          <w:rFonts w:ascii="Arial" w:hAnsi="Arial" w:cs="Arial"/>
        </w:rPr>
        <w:t>zne</w:t>
      </w:r>
      <w:r w:rsidRPr="006B7954">
        <w:rPr>
          <w:rFonts w:ascii="Arial" w:hAnsi="Arial" w:cs="Arial"/>
        </w:rPr>
        <w:t>užít tíživého stavu podnikatelů, jimž byly bonusy vypláceny. Trestní oznámení byla podávána zejména při zjištění zneužití identity skutečného žadatele (tzn., že žádost o KB byla podána osobou odlišnou), tyto situace byly řešeny v celé ČR. K jednání pachatelů úmyslného zneužití tohoto institutu lze dohledat informace v</w:t>
      </w:r>
      <w:r>
        <w:rPr>
          <w:rFonts w:ascii="Arial" w:hAnsi="Arial" w:cs="Arial"/>
        </w:rPr>
        <w:t> </w:t>
      </w:r>
      <w:r w:rsidRPr="006B7954">
        <w:rPr>
          <w:rFonts w:ascii="Arial" w:hAnsi="Arial" w:cs="Arial"/>
        </w:rPr>
        <w:t>tisku</w:t>
      </w:r>
      <w:r>
        <w:rPr>
          <w:rFonts w:ascii="Arial" w:hAnsi="Arial" w:cs="Arial"/>
        </w:rPr>
        <w:t xml:space="preserve">, např. zde: </w:t>
      </w:r>
      <w:hyperlink r:id="rId5" w:history="1">
        <w:r w:rsidRPr="002C7337">
          <w:rPr>
            <w:rStyle w:val="Hypertextovodkaz"/>
            <w:rFonts w:ascii="Arial" w:hAnsi="Arial" w:cs="Arial"/>
          </w:rPr>
          <w:t>https://ct24.ceskatelevize.cz/regiony/3380432-za-podvody-s-kompenzacnimi-bonusy-ulozil-zlinsky-soud-muzi-nepravomocne-pet-let</w:t>
        </w:r>
      </w:hyperlink>
      <w:r>
        <w:rPr>
          <w:rStyle w:val="Hypertextovodkaz"/>
          <w:rFonts w:ascii="Arial" w:hAnsi="Arial" w:cs="Arial"/>
        </w:rPr>
        <w:t xml:space="preserve">. </w:t>
      </w:r>
    </w:p>
    <w:p w14:paraId="77BB26BD" w14:textId="77777777" w:rsidR="0003384A" w:rsidRPr="0067525B" w:rsidRDefault="0003384A" w:rsidP="0003384A">
      <w:pPr>
        <w:spacing w:after="240"/>
        <w:jc w:val="both"/>
        <w:rPr>
          <w:rFonts w:ascii="Arial" w:hAnsi="Arial" w:cs="Arial"/>
        </w:rPr>
      </w:pPr>
      <w:r w:rsidRPr="0067525B">
        <w:rPr>
          <w:rFonts w:ascii="Arial" w:hAnsi="Arial" w:cs="Arial"/>
        </w:rPr>
        <w:t>Následné kontroly probíha</w:t>
      </w:r>
      <w:r>
        <w:rPr>
          <w:rFonts w:ascii="Arial" w:hAnsi="Arial" w:cs="Arial"/>
        </w:rPr>
        <w:t xml:space="preserve">ly, přesný počet kontrol není v tuto chvíli k dispozici. Předpokládáme, že k dispozici by měl být v průběhu května. </w:t>
      </w:r>
    </w:p>
    <w:p w14:paraId="70E6DB4A" w14:textId="77777777" w:rsidR="001E1838" w:rsidRDefault="001E1838" w:rsidP="0003384A">
      <w:pPr>
        <w:jc w:val="both"/>
      </w:pPr>
    </w:p>
    <w:sectPr w:rsidR="001E1838" w:rsidSect="00040B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5F1A"/>
    <w:multiLevelType w:val="hybridMultilevel"/>
    <w:tmpl w:val="AE800EEA"/>
    <w:lvl w:ilvl="0" w:tplc="A7DAF1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200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B2"/>
    <w:rsid w:val="0003384A"/>
    <w:rsid w:val="001E1838"/>
    <w:rsid w:val="0025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1180"/>
  <w15:chartTrackingRefBased/>
  <w15:docId w15:val="{1A68B416-2D34-488E-A37C-47AD9FE3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79B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79B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3384A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3384A"/>
    <w:rPr>
      <w:color w:val="0563C1" w:themeColor="hyperlink"/>
      <w:u w:val="single"/>
    </w:rPr>
  </w:style>
  <w:style w:type="paragraph" w:customStyle="1" w:styleId="-wm-msonormal">
    <w:name w:val="-wm-msonormal"/>
    <w:basedOn w:val="Normln"/>
    <w:rsid w:val="0003384A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1"/>
    <w:qFormat/>
    <w:rsid w:val="0003384A"/>
    <w:pPr>
      <w:widowControl w:val="0"/>
      <w:autoSpaceDE w:val="0"/>
      <w:autoSpaceDN w:val="0"/>
      <w:adjustRightInd w:val="0"/>
      <w:spacing w:before="45"/>
      <w:ind w:left="1679" w:hanging="363"/>
    </w:pPr>
    <w:rPr>
      <w:rFonts w:ascii="Arial" w:eastAsiaTheme="minorEastAsia" w:hAnsi="Arial" w:cs="Arial"/>
      <w:sz w:val="21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3384A"/>
    <w:rPr>
      <w:rFonts w:ascii="Arial" w:eastAsiaTheme="minorEastAsia" w:hAnsi="Arial" w:cs="Arial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t24.ceskatelevize.cz/regiony/3380432-za-podvody-s-kompenzacnimi-bonusy-ulozil-zlinsky-soud-muzi-nepravomocne-pet-l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1443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2023-05-10T10:05:00Z</dcterms:created>
  <dcterms:modified xsi:type="dcterms:W3CDTF">2023-05-10T11:27:00Z</dcterms:modified>
</cp:coreProperties>
</file>