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B337" w14:textId="0EDCA0DC" w:rsidR="00B01D71" w:rsidRDefault="00B01D71" w:rsidP="00B01D7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67C4F8D4" w14:textId="77777777" w:rsidR="00B01D71" w:rsidRPr="005256DB" w:rsidRDefault="00B01D71" w:rsidP="00B01D71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7C125BB9" w14:textId="5794A6EB" w:rsidR="00B01D71" w:rsidRPr="00B01D71" w:rsidRDefault="00B01D71" w:rsidP="00B01D71">
      <w:pPr>
        <w:jc w:val="both"/>
        <w:rPr>
          <w:rFonts w:ascii="Arial" w:hAnsi="Arial" w:cs="Arial"/>
        </w:rPr>
      </w:pPr>
      <w:r w:rsidRPr="00B01D71">
        <w:rPr>
          <w:rFonts w:ascii="Arial" w:hAnsi="Arial" w:cs="Arial"/>
        </w:rPr>
        <w:t>Žádám o poskytnutí informací týkající se uplatňování metodického pokynu Generálního finančního ředitelství („</w:t>
      </w:r>
      <w:r w:rsidRPr="00B01D71">
        <w:rPr>
          <w:rFonts w:ascii="Arial" w:hAnsi="Arial" w:cs="Arial"/>
          <w:b/>
          <w:bCs/>
        </w:rPr>
        <w:t>GFŘ</w:t>
      </w:r>
      <w:r w:rsidRPr="00B01D71">
        <w:rPr>
          <w:rFonts w:ascii="Arial" w:hAnsi="Arial" w:cs="Arial"/>
        </w:rPr>
        <w:t>“) č.j. 14813/21/7700-30133-051108 ze dne 22.2.2021 týkajícího se aplikace ustanovení § 254 odst. 2 daňového řádu ve znění účinném do dne 31.12.2020 („</w:t>
      </w:r>
      <w:r w:rsidRPr="00B01D71">
        <w:rPr>
          <w:rFonts w:ascii="Arial" w:hAnsi="Arial" w:cs="Arial"/>
          <w:b/>
          <w:bCs/>
        </w:rPr>
        <w:t>Metodický pokyn</w:t>
      </w:r>
      <w:r w:rsidRPr="00B01D71">
        <w:rPr>
          <w:rFonts w:ascii="Arial" w:hAnsi="Arial" w:cs="Arial"/>
        </w:rPr>
        <w:t xml:space="preserve">“) a rozsudku Nejvyššího správního soudu č.j. 3 </w:t>
      </w:r>
      <w:proofErr w:type="spellStart"/>
      <w:r w:rsidRPr="00B01D71">
        <w:rPr>
          <w:rFonts w:ascii="Arial" w:hAnsi="Arial" w:cs="Arial"/>
        </w:rPr>
        <w:t>Afs</w:t>
      </w:r>
      <w:proofErr w:type="spellEnd"/>
      <w:r w:rsidRPr="00B01D71">
        <w:rPr>
          <w:rFonts w:ascii="Arial" w:hAnsi="Arial" w:cs="Arial"/>
        </w:rPr>
        <w:t xml:space="preserve"> 155/2019-40 ze dne 15.2.2020 („</w:t>
      </w:r>
      <w:r w:rsidRPr="00B01D71">
        <w:rPr>
          <w:rFonts w:ascii="Arial" w:hAnsi="Arial" w:cs="Arial"/>
          <w:b/>
          <w:bCs/>
        </w:rPr>
        <w:t>Rozsudek</w:t>
      </w:r>
      <w:r w:rsidRPr="00B01D71">
        <w:rPr>
          <w:rFonts w:ascii="Arial" w:hAnsi="Arial" w:cs="Arial"/>
        </w:rPr>
        <w:t>“) v praxi správců daně</w:t>
      </w:r>
      <w:r w:rsidRPr="00B01D71">
        <w:rPr>
          <w:rFonts w:ascii="Arial" w:hAnsi="Arial" w:cs="Arial"/>
        </w:rPr>
        <w:t>,</w:t>
      </w:r>
    </w:p>
    <w:p w14:paraId="6273B755" w14:textId="6755C543" w:rsidR="00B01D71" w:rsidRDefault="00B01D71" w:rsidP="00B01D71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11B821EB" w14:textId="77777777" w:rsidR="00B01D71" w:rsidRPr="00A03901" w:rsidRDefault="00B01D71" w:rsidP="00B01D7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eastAsia="Times New Roman" w:hAnsi="Arial" w:cs="Arial"/>
        </w:rPr>
      </w:pPr>
      <w:r w:rsidRPr="00A03901">
        <w:rPr>
          <w:rFonts w:ascii="Arial" w:eastAsia="Times New Roman" w:hAnsi="Arial" w:cs="Arial"/>
        </w:rPr>
        <w:t xml:space="preserve">V kolika případech </w:t>
      </w:r>
      <w:r w:rsidRPr="00A03901">
        <w:rPr>
          <w:rFonts w:ascii="Arial" w:eastAsia="Times New Roman" w:hAnsi="Arial" w:cs="Arial"/>
          <w:u w:val="single"/>
        </w:rPr>
        <w:t>obdrželo</w:t>
      </w:r>
      <w:r w:rsidRPr="00A03901">
        <w:rPr>
          <w:rFonts w:ascii="Arial" w:eastAsia="Times New Roman" w:hAnsi="Arial" w:cs="Arial"/>
        </w:rPr>
        <w:t xml:space="preserve"> GFŘ podnět k přezkoumání rozhodnutí o přiznání úroku z</w:t>
      </w:r>
      <w:r>
        <w:rPr>
          <w:rFonts w:ascii="Arial" w:eastAsia="Times New Roman" w:hAnsi="Arial" w:cs="Arial"/>
        </w:rPr>
        <w:t> </w:t>
      </w:r>
      <w:r w:rsidRPr="00A03901">
        <w:rPr>
          <w:rFonts w:ascii="Arial" w:eastAsia="Times New Roman" w:hAnsi="Arial" w:cs="Arial"/>
        </w:rPr>
        <w:t>neoprávněného jednání správce daně postupem dle § 121 a násl. daňového řádu z</w:t>
      </w:r>
      <w:r>
        <w:rPr>
          <w:rFonts w:ascii="Arial" w:eastAsia="Times New Roman" w:hAnsi="Arial" w:cs="Arial"/>
        </w:rPr>
        <w:t> </w:t>
      </w:r>
      <w:r w:rsidRPr="00A03901">
        <w:rPr>
          <w:rFonts w:ascii="Arial" w:eastAsia="Times New Roman" w:hAnsi="Arial" w:cs="Arial"/>
        </w:rPr>
        <w:t>důvodu aplikace metodického pokynu anebo rozsudku?</w:t>
      </w:r>
    </w:p>
    <w:p w14:paraId="5FFA00A5" w14:textId="77777777" w:rsidR="00B01D71" w:rsidRPr="00A03901" w:rsidRDefault="00B01D71" w:rsidP="00B01D71">
      <w:pPr>
        <w:pStyle w:val="Odstavecseseznamem"/>
        <w:numPr>
          <w:ilvl w:val="0"/>
          <w:numId w:val="2"/>
        </w:numPr>
        <w:ind w:left="426" w:hanging="360"/>
        <w:contextualSpacing w:val="0"/>
        <w:jc w:val="both"/>
        <w:rPr>
          <w:rFonts w:ascii="Arial" w:eastAsiaTheme="minorHAnsi" w:hAnsi="Arial" w:cs="Arial"/>
        </w:rPr>
      </w:pPr>
      <w:r w:rsidRPr="00A03901">
        <w:rPr>
          <w:rFonts w:ascii="Arial" w:hAnsi="Arial" w:cs="Arial"/>
        </w:rPr>
        <w:t xml:space="preserve">podnět daňového subjektu – </w:t>
      </w:r>
      <w:r w:rsidRPr="00A03901">
        <w:rPr>
          <w:rFonts w:ascii="Arial" w:hAnsi="Arial" w:cs="Arial"/>
          <w:b/>
          <w:bCs/>
        </w:rPr>
        <w:t>0</w:t>
      </w:r>
      <w:r w:rsidRPr="00A03901">
        <w:rPr>
          <w:rFonts w:ascii="Arial" w:hAnsi="Arial" w:cs="Arial"/>
        </w:rPr>
        <w:t>,</w:t>
      </w:r>
    </w:p>
    <w:p w14:paraId="14F7B6B3" w14:textId="77777777" w:rsidR="00B01D71" w:rsidRDefault="00B01D71" w:rsidP="00B01D71">
      <w:pPr>
        <w:pStyle w:val="Odstavecseseznamem"/>
        <w:numPr>
          <w:ilvl w:val="0"/>
          <w:numId w:val="2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 xml:space="preserve">podnět správce daně – </w:t>
      </w:r>
      <w:r w:rsidRPr="00A03901">
        <w:rPr>
          <w:rFonts w:ascii="Arial" w:hAnsi="Arial" w:cs="Arial"/>
          <w:b/>
          <w:bCs/>
        </w:rPr>
        <w:t xml:space="preserve">1 </w:t>
      </w:r>
      <w:r w:rsidRPr="00A03901">
        <w:rPr>
          <w:rFonts w:ascii="Arial" w:hAnsi="Arial" w:cs="Arial"/>
        </w:rPr>
        <w:t>(Odvolací finanční ředitelství),</w:t>
      </w:r>
    </w:p>
    <w:p w14:paraId="7E28B50F" w14:textId="77777777" w:rsidR="00B01D71" w:rsidRDefault="00B01D71" w:rsidP="00B01D71">
      <w:pPr>
        <w:pStyle w:val="Odstavecseseznamem"/>
        <w:numPr>
          <w:ilvl w:val="0"/>
          <w:numId w:val="2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>podnět v neprospěch daňového subjektu, tj. aby v přezkumném řízení došlo k</w:t>
      </w:r>
      <w:r>
        <w:rPr>
          <w:rFonts w:ascii="Arial" w:hAnsi="Arial" w:cs="Arial"/>
        </w:rPr>
        <w:t> </w:t>
      </w:r>
      <w:r w:rsidRPr="00A03901">
        <w:rPr>
          <w:rFonts w:ascii="Arial" w:hAnsi="Arial" w:cs="Arial"/>
        </w:rPr>
        <w:t xml:space="preserve">vyměření nižšího úroku z neoprávněného jednání správce daně – </w:t>
      </w:r>
      <w:r w:rsidRPr="00A03901">
        <w:rPr>
          <w:rFonts w:ascii="Arial" w:hAnsi="Arial" w:cs="Arial"/>
          <w:b/>
          <w:bCs/>
        </w:rPr>
        <w:t>1</w:t>
      </w:r>
      <w:r w:rsidRPr="00A03901">
        <w:rPr>
          <w:rFonts w:ascii="Arial" w:hAnsi="Arial" w:cs="Arial"/>
        </w:rPr>
        <w:t>,</w:t>
      </w:r>
    </w:p>
    <w:p w14:paraId="7AB6FDF3" w14:textId="77777777" w:rsidR="00B01D71" w:rsidRPr="00A03901" w:rsidRDefault="00B01D71" w:rsidP="00B01D71">
      <w:pPr>
        <w:pStyle w:val="Odstavecseseznamem"/>
        <w:numPr>
          <w:ilvl w:val="0"/>
          <w:numId w:val="2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>podnět ve prospěch daňového subjektu, tj. aby došlo k vyměření vyššího úroku z</w:t>
      </w:r>
      <w:r>
        <w:rPr>
          <w:rFonts w:ascii="Arial" w:hAnsi="Arial" w:cs="Arial"/>
        </w:rPr>
        <w:t> </w:t>
      </w:r>
      <w:r w:rsidRPr="00A03901">
        <w:rPr>
          <w:rFonts w:ascii="Arial" w:hAnsi="Arial" w:cs="Arial"/>
        </w:rPr>
        <w:t xml:space="preserve">neoprávněného jednání správce daně – </w:t>
      </w:r>
      <w:r w:rsidRPr="00A03901">
        <w:rPr>
          <w:rFonts w:ascii="Arial" w:hAnsi="Arial" w:cs="Arial"/>
          <w:b/>
          <w:bCs/>
        </w:rPr>
        <w:t>0</w:t>
      </w:r>
      <w:r w:rsidRPr="00A03901">
        <w:rPr>
          <w:rFonts w:ascii="Arial" w:hAnsi="Arial" w:cs="Arial"/>
        </w:rPr>
        <w:t xml:space="preserve">. </w:t>
      </w:r>
    </w:p>
    <w:p w14:paraId="59395D12" w14:textId="77777777" w:rsidR="00B01D71" w:rsidRPr="00A03901" w:rsidRDefault="00B01D71" w:rsidP="00B01D7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eastAsia="Times New Roman" w:hAnsi="Arial" w:cs="Arial"/>
        </w:rPr>
      </w:pPr>
      <w:r w:rsidRPr="00A03901">
        <w:rPr>
          <w:rFonts w:ascii="Arial" w:eastAsia="Times New Roman" w:hAnsi="Arial" w:cs="Arial"/>
        </w:rPr>
        <w:t xml:space="preserve">V kolika případech </w:t>
      </w:r>
      <w:r w:rsidRPr="00A03901">
        <w:rPr>
          <w:rFonts w:ascii="Arial" w:eastAsia="Times New Roman" w:hAnsi="Arial" w:cs="Arial"/>
          <w:u w:val="single"/>
        </w:rPr>
        <w:t>nařídilo</w:t>
      </w:r>
      <w:r w:rsidRPr="00A03901">
        <w:rPr>
          <w:rFonts w:ascii="Arial" w:eastAsia="Times New Roman" w:hAnsi="Arial" w:cs="Arial"/>
        </w:rPr>
        <w:t xml:space="preserve"> GFŘ přezkum rozhodnutí o přiznání úroku z neoprávněného jednání správce daně postupem dle § 121 odst. 1 daňového řádu z důvodu aplikace metodického pokynu anebo rozsudku?</w:t>
      </w:r>
    </w:p>
    <w:p w14:paraId="08B456E1" w14:textId="77777777" w:rsidR="00B01D71" w:rsidRPr="00A03901" w:rsidRDefault="00B01D71" w:rsidP="00B01D71">
      <w:pPr>
        <w:pStyle w:val="Odstavecseseznamem"/>
        <w:numPr>
          <w:ilvl w:val="0"/>
          <w:numId w:val="3"/>
        </w:numPr>
        <w:ind w:left="426" w:hanging="360"/>
        <w:contextualSpacing w:val="0"/>
        <w:jc w:val="both"/>
        <w:rPr>
          <w:rFonts w:ascii="Arial" w:eastAsiaTheme="minorHAnsi" w:hAnsi="Arial" w:cs="Arial"/>
        </w:rPr>
      </w:pPr>
      <w:r w:rsidRPr="00A03901">
        <w:rPr>
          <w:rFonts w:ascii="Arial" w:hAnsi="Arial" w:cs="Arial"/>
        </w:rPr>
        <w:t xml:space="preserve">rozhodnutí z podnětu daňového subjektu – </w:t>
      </w:r>
      <w:r w:rsidRPr="00A03901">
        <w:rPr>
          <w:rFonts w:ascii="Arial" w:hAnsi="Arial" w:cs="Arial"/>
          <w:b/>
          <w:bCs/>
        </w:rPr>
        <w:t>0</w:t>
      </w:r>
      <w:r w:rsidRPr="00A03901">
        <w:rPr>
          <w:rFonts w:ascii="Arial" w:hAnsi="Arial" w:cs="Arial"/>
        </w:rPr>
        <w:t>,</w:t>
      </w:r>
    </w:p>
    <w:p w14:paraId="0975B954" w14:textId="77777777" w:rsidR="00B01D71" w:rsidRPr="00A03901" w:rsidRDefault="00B01D71" w:rsidP="00B01D71">
      <w:pPr>
        <w:pStyle w:val="Odstavecseseznamem"/>
        <w:numPr>
          <w:ilvl w:val="0"/>
          <w:numId w:val="3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 xml:space="preserve">rozhodnutí z podnětu správce daně – </w:t>
      </w:r>
      <w:r w:rsidRPr="00A03901">
        <w:rPr>
          <w:rFonts w:ascii="Arial" w:hAnsi="Arial" w:cs="Arial"/>
          <w:b/>
          <w:bCs/>
        </w:rPr>
        <w:t xml:space="preserve">1 </w:t>
      </w:r>
      <w:r w:rsidRPr="00A03901">
        <w:rPr>
          <w:rFonts w:ascii="Arial" w:hAnsi="Arial" w:cs="Arial"/>
        </w:rPr>
        <w:t>(Odvolací finanční ředitelství),</w:t>
      </w:r>
    </w:p>
    <w:p w14:paraId="045378DA" w14:textId="77777777" w:rsidR="00B01D71" w:rsidRDefault="00B01D71" w:rsidP="00B01D71">
      <w:pPr>
        <w:pStyle w:val="Odstavecseseznamem"/>
        <w:numPr>
          <w:ilvl w:val="0"/>
          <w:numId w:val="3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>rozhodnutí na základě vlastní úřední činnosti –</w:t>
      </w:r>
      <w:r w:rsidRPr="00A03901">
        <w:rPr>
          <w:rFonts w:ascii="Arial" w:hAnsi="Arial" w:cs="Arial"/>
          <w:b/>
          <w:bCs/>
        </w:rPr>
        <w:t xml:space="preserve"> 0</w:t>
      </w:r>
      <w:r w:rsidRPr="00A03901">
        <w:rPr>
          <w:rFonts w:ascii="Arial" w:hAnsi="Arial" w:cs="Arial"/>
        </w:rPr>
        <w:t>,</w:t>
      </w:r>
    </w:p>
    <w:p w14:paraId="114FF28E" w14:textId="77777777" w:rsidR="00B01D71" w:rsidRPr="00A03901" w:rsidRDefault="00B01D71" w:rsidP="00B01D71">
      <w:pPr>
        <w:pStyle w:val="Odstavecseseznamem"/>
        <w:numPr>
          <w:ilvl w:val="0"/>
          <w:numId w:val="3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 xml:space="preserve">rozhodnutí v neprospěch daňového subjektu, tj. došlo k vyměření nižšího úroku z neoprávněného jednání správce daně – </w:t>
      </w:r>
      <w:r w:rsidRPr="00A03901">
        <w:rPr>
          <w:rFonts w:ascii="Arial" w:hAnsi="Arial" w:cs="Arial"/>
          <w:b/>
          <w:bCs/>
        </w:rPr>
        <w:t>1</w:t>
      </w:r>
    </w:p>
    <w:p w14:paraId="4318DD45" w14:textId="77777777" w:rsidR="00B01D71" w:rsidRPr="00A03901" w:rsidRDefault="00B01D71" w:rsidP="00B01D71">
      <w:pPr>
        <w:pStyle w:val="Odstavecseseznamem"/>
        <w:numPr>
          <w:ilvl w:val="0"/>
          <w:numId w:val="3"/>
        </w:numPr>
        <w:ind w:left="426" w:hanging="360"/>
        <w:contextualSpacing w:val="0"/>
        <w:jc w:val="both"/>
        <w:rPr>
          <w:rFonts w:ascii="Arial" w:hAnsi="Arial" w:cs="Arial"/>
        </w:rPr>
      </w:pPr>
      <w:r w:rsidRPr="00A03901">
        <w:rPr>
          <w:rFonts w:ascii="Arial" w:hAnsi="Arial" w:cs="Arial"/>
        </w:rPr>
        <w:t xml:space="preserve">rozhodnutí ve prospěch daňového subjektu, tj. došlo k vyměření vyššího úroku z neoprávněného jednání správce daně – </w:t>
      </w:r>
      <w:r w:rsidRPr="00A03901">
        <w:rPr>
          <w:rFonts w:ascii="Arial" w:hAnsi="Arial" w:cs="Arial"/>
          <w:b/>
          <w:bCs/>
        </w:rPr>
        <w:t>0</w:t>
      </w:r>
      <w:r w:rsidRPr="00A03901">
        <w:rPr>
          <w:rFonts w:ascii="Arial" w:hAnsi="Arial" w:cs="Arial"/>
        </w:rPr>
        <w:t>.</w:t>
      </w:r>
    </w:p>
    <w:p w14:paraId="2BED75F0" w14:textId="77777777" w:rsidR="00B01D71" w:rsidRPr="00A03901" w:rsidRDefault="00B01D71" w:rsidP="00B01D7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eastAsiaTheme="minorHAnsi" w:hAnsi="Arial" w:cs="Arial"/>
          <w:b/>
          <w:bCs/>
        </w:rPr>
      </w:pPr>
      <w:r w:rsidRPr="00A03901">
        <w:rPr>
          <w:rFonts w:ascii="Arial" w:eastAsia="Times New Roman" w:hAnsi="Arial" w:cs="Arial"/>
        </w:rPr>
        <w:t xml:space="preserve">V kolika případech </w:t>
      </w:r>
      <w:r w:rsidRPr="00A03901">
        <w:rPr>
          <w:rFonts w:ascii="Arial" w:eastAsia="Times New Roman" w:hAnsi="Arial" w:cs="Arial"/>
          <w:u w:val="single"/>
        </w:rPr>
        <w:t>podalo</w:t>
      </w:r>
      <w:r w:rsidRPr="00A03901">
        <w:rPr>
          <w:rFonts w:ascii="Arial" w:eastAsia="Times New Roman" w:hAnsi="Arial" w:cs="Arial"/>
        </w:rPr>
        <w:t xml:space="preserve"> GFŘ podnět k přezkoumání rozhodnutí o přiznání úroku z neoprávněného jednání správce daně postupem dle § 121 a násl. daňového řádu z důvodu aplikace metodického pokynu anebo rozsudku? - </w:t>
      </w:r>
      <w:r w:rsidRPr="00A03901">
        <w:rPr>
          <w:rFonts w:ascii="Arial" w:hAnsi="Arial" w:cs="Arial"/>
          <w:b/>
          <w:bCs/>
        </w:rPr>
        <w:t>0</w:t>
      </w:r>
    </w:p>
    <w:p w14:paraId="2FC624F3" w14:textId="1AF4968D" w:rsidR="00625753" w:rsidRDefault="00B01D71" w:rsidP="00B01D71">
      <w:pPr>
        <w:spacing w:after="1200"/>
        <w:jc w:val="both"/>
      </w:pPr>
      <w:r>
        <w:rPr>
          <w:rFonts w:ascii="Arial" w:hAnsi="Arial" w:cs="Arial"/>
        </w:rPr>
        <w:t>K uvedenému</w:t>
      </w:r>
      <w:r w:rsidRPr="00A03901">
        <w:rPr>
          <w:rFonts w:ascii="Arial" w:hAnsi="Arial" w:cs="Arial"/>
        </w:rPr>
        <w:t xml:space="preserve"> považujeme za vhodné zmínit, že vydaný metodický pokyn upravil správní praxi orgánů finanční správy do budoucna na dosud neskončené případy. V této souvislosti lze například zmínit nález Ústavního soudu sp. zn. I. ÚS 2331/19 ze dne 19. 5. 2021 zabývající se incidentní retrospektivou, který výslovně uvádí, že: „</w:t>
      </w:r>
      <w:r w:rsidRPr="00A03901">
        <w:rPr>
          <w:rFonts w:ascii="Arial" w:hAnsi="Arial" w:cs="Arial"/>
          <w:i/>
          <w:iCs/>
        </w:rPr>
        <w:t>Při aplikaci principu incidentní retrospektivy dochází k užití nových judikaturních závěrů na řízení ještě probíhající, nikoli na</w:t>
      </w:r>
      <w:r>
        <w:rPr>
          <w:rFonts w:ascii="Arial" w:hAnsi="Arial" w:cs="Arial"/>
          <w:i/>
          <w:iCs/>
        </w:rPr>
        <w:t> </w:t>
      </w:r>
      <w:r w:rsidRPr="00A03901">
        <w:rPr>
          <w:rFonts w:ascii="Arial" w:hAnsi="Arial" w:cs="Arial"/>
          <w:i/>
          <w:iCs/>
        </w:rPr>
        <w:t>řízení již pravomocně skončená. Je nepochybné, že odlišný závěr by nepřípustným způsobem naboural právní jistotu účastníků řízení a bez dalšího není jakési znovuotevírání řízení pravomocně skončených na základě později uskutečněného judikaturního odklonu v</w:t>
      </w:r>
      <w:r>
        <w:rPr>
          <w:rFonts w:ascii="Arial" w:hAnsi="Arial" w:cs="Arial"/>
          <w:i/>
          <w:iCs/>
        </w:rPr>
        <w:t> </w:t>
      </w:r>
      <w:r w:rsidRPr="00A03901">
        <w:rPr>
          <w:rFonts w:ascii="Arial" w:hAnsi="Arial" w:cs="Arial"/>
          <w:i/>
          <w:iCs/>
        </w:rPr>
        <w:t>právním státě akceptovatelné.</w:t>
      </w:r>
      <w:r w:rsidRPr="00A03901">
        <w:rPr>
          <w:rFonts w:ascii="Arial" w:hAnsi="Arial" w:cs="Arial"/>
        </w:rPr>
        <w:t xml:space="preserve">“ </w:t>
      </w:r>
    </w:p>
    <w:sectPr w:rsidR="0062575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52"/>
    <w:multiLevelType w:val="hybridMultilevel"/>
    <w:tmpl w:val="238AB2AC"/>
    <w:lvl w:ilvl="0" w:tplc="A1C0F06C">
      <w:start w:val="1"/>
      <w:numFmt w:val="lowerRoman"/>
      <w:lvlText w:val="(%1)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307F4"/>
    <w:multiLevelType w:val="hybridMultilevel"/>
    <w:tmpl w:val="32880A06"/>
    <w:lvl w:ilvl="0" w:tplc="523410F6">
      <w:start w:val="1"/>
      <w:numFmt w:val="lowerRoman"/>
      <w:lvlText w:val="(%1)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010FB"/>
    <w:multiLevelType w:val="hybridMultilevel"/>
    <w:tmpl w:val="BCDCB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1"/>
    <w:rsid w:val="00625753"/>
    <w:rsid w:val="00B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B13B"/>
  <w15:chartTrackingRefBased/>
  <w15:docId w15:val="{8DD5A810-41C8-4354-B035-5C9275F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1D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01D7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B01D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2022-12-29T09:52:00Z</dcterms:created>
  <dcterms:modified xsi:type="dcterms:W3CDTF">2022-12-29T09:58:00Z</dcterms:modified>
</cp:coreProperties>
</file>