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5FD7" w14:textId="3DDC262A" w:rsidR="00FB13F4" w:rsidRDefault="00FB13F4" w:rsidP="00FB13F4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4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011F7B2C" w14:textId="77777777" w:rsidR="00FB13F4" w:rsidRDefault="00FB13F4" w:rsidP="00FB1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08109CC4" w14:textId="3B1319AA" w:rsidR="00FB13F4" w:rsidRPr="004C0727" w:rsidRDefault="00FB13F4" w:rsidP="00FB13F4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informac</w:t>
      </w:r>
      <w:r>
        <w:rPr>
          <w:rFonts w:ascii="Arial" w:hAnsi="Arial" w:cs="Arial"/>
        </w:rPr>
        <w:t xml:space="preserve">i, </w:t>
      </w:r>
      <w:r w:rsidRPr="004C0727">
        <w:rPr>
          <w:rFonts w:ascii="Arial" w:hAnsi="Arial" w:cs="Arial"/>
        </w:rPr>
        <w:t xml:space="preserve">zda povinný subjekt umožňuje svým zaměstnancům pracovat z domu, tzv. </w:t>
      </w:r>
      <w:proofErr w:type="spellStart"/>
      <w:r w:rsidRPr="004C0727">
        <w:rPr>
          <w:rFonts w:ascii="Arial" w:hAnsi="Arial" w:cs="Arial"/>
        </w:rPr>
        <w:t>home</w:t>
      </w:r>
      <w:proofErr w:type="spellEnd"/>
      <w:r w:rsidRPr="004C0727">
        <w:rPr>
          <w:rFonts w:ascii="Arial" w:hAnsi="Arial" w:cs="Arial"/>
        </w:rPr>
        <w:t>-office</w:t>
      </w:r>
      <w:r>
        <w:rPr>
          <w:rFonts w:ascii="Arial" w:hAnsi="Arial" w:cs="Arial"/>
        </w:rPr>
        <w:t>,</w:t>
      </w:r>
      <w:r w:rsidRPr="004C0727">
        <w:rPr>
          <w:rFonts w:ascii="Arial" w:hAnsi="Arial" w:cs="Arial"/>
        </w:rPr>
        <w:t xml:space="preserve"> a pokud ano, pak za jakých podmínek a v jakém rozsahu. </w:t>
      </w:r>
    </w:p>
    <w:p w14:paraId="14A296AF" w14:textId="77777777" w:rsidR="00FB13F4" w:rsidRPr="0006331D" w:rsidRDefault="00FB13F4" w:rsidP="00FB13F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29874FF0" w14:textId="77777777" w:rsidR="00FB13F4" w:rsidRPr="004C0727" w:rsidRDefault="00FB13F4" w:rsidP="00FB13F4">
      <w:pPr>
        <w:spacing w:after="100" w:afterAutospacing="1" w:line="276" w:lineRule="auto"/>
        <w:jc w:val="both"/>
        <w:rPr>
          <w:rFonts w:ascii="Arial" w:hAnsi="Arial" w:cs="Arial"/>
        </w:rPr>
      </w:pPr>
      <w:r w:rsidRPr="004C0727">
        <w:rPr>
          <w:rFonts w:ascii="Arial" w:hAnsi="Arial" w:cs="Arial"/>
        </w:rPr>
        <w:t>Na základě Služebního předpisu náměstka ministra vnitra pro státní službu č. 2/2021 náměstka ministra vnitra pro</w:t>
      </w:r>
      <w:r>
        <w:rPr>
          <w:rFonts w:ascii="Arial" w:hAnsi="Arial" w:cs="Arial"/>
        </w:rPr>
        <w:t> </w:t>
      </w:r>
      <w:r w:rsidRPr="004C0727">
        <w:rPr>
          <w:rFonts w:ascii="Arial" w:hAnsi="Arial" w:cs="Arial"/>
        </w:rPr>
        <w:t>státní službu ze dne 2. 6. 2021, o bližších pravidlech pro  výkon státní služby z jiného místa, který stanoví na základě § 11 ve spojení s § 117 zákona č. 234/2014 Sb., o státní službě, ve znění pozdějších předpisů, a v souladu s nařízením vlády č. 144/2015 Sb., o výkonu státní služby z jiného místa a pravidlech pro vytváření předpokladů sladění rodinného a</w:t>
      </w:r>
      <w:r>
        <w:rPr>
          <w:rFonts w:ascii="Arial" w:hAnsi="Arial" w:cs="Arial"/>
        </w:rPr>
        <w:t> </w:t>
      </w:r>
      <w:r w:rsidRPr="004C0727">
        <w:rPr>
          <w:rFonts w:ascii="Arial" w:hAnsi="Arial" w:cs="Arial"/>
        </w:rPr>
        <w:t>osobního života s výkonem státní služby, bližší pravidla vytváření podmínek pro slaďování rodinného a osobního života státních zaměstnanců s výkonem státní služby (dále jen „nařízení vlády č. 144/2015 Sb.</w:t>
      </w:r>
      <w:r>
        <w:rPr>
          <w:rFonts w:ascii="Arial" w:hAnsi="Arial" w:cs="Arial"/>
        </w:rPr>
        <w:t>“</w:t>
      </w:r>
      <w:r w:rsidRPr="004C0727">
        <w:rPr>
          <w:rFonts w:ascii="Arial" w:hAnsi="Arial" w:cs="Arial"/>
        </w:rPr>
        <w:t xml:space="preserve">), </w:t>
      </w:r>
      <w:r w:rsidRPr="009F3530">
        <w:rPr>
          <w:rFonts w:ascii="Arial" w:hAnsi="Arial" w:cs="Arial"/>
          <w:b/>
          <w:bCs/>
        </w:rPr>
        <w:t>mají možnost státní zaměstnanci uzavřít dohodu o výkonu státní služby z jiného místa</w:t>
      </w:r>
      <w:r w:rsidRPr="004C0727">
        <w:rPr>
          <w:rFonts w:ascii="Arial" w:hAnsi="Arial" w:cs="Arial"/>
        </w:rPr>
        <w:t>, nebrání-li tomu řádné plnění úkolů služebního úřadu, nejde-li o správní činnosti, u kterých je sjednání dohody vyloučeno (</w:t>
      </w:r>
      <w:r>
        <w:rPr>
          <w:rFonts w:ascii="Arial" w:hAnsi="Arial" w:cs="Arial"/>
        </w:rPr>
        <w:t xml:space="preserve">viz </w:t>
      </w:r>
      <w:r w:rsidRPr="004C0727">
        <w:rPr>
          <w:rFonts w:ascii="Arial" w:hAnsi="Arial" w:cs="Arial"/>
        </w:rPr>
        <w:t>§ 2 nařízení vlády č. 144/2015 Sb.). Pro</w:t>
      </w:r>
      <w:r>
        <w:rPr>
          <w:rFonts w:ascii="Arial" w:hAnsi="Arial" w:cs="Arial"/>
        </w:rPr>
        <w:t> </w:t>
      </w:r>
      <w:r w:rsidRPr="004C0727">
        <w:rPr>
          <w:rFonts w:ascii="Arial" w:hAnsi="Arial" w:cs="Arial"/>
        </w:rPr>
        <w:t>zaměstnance v pracovním poměru je tato problematika upravena v § 317 zákona č.</w:t>
      </w:r>
      <w:r>
        <w:rPr>
          <w:rFonts w:ascii="Arial" w:hAnsi="Arial" w:cs="Arial"/>
        </w:rPr>
        <w:t> </w:t>
      </w:r>
      <w:r w:rsidRPr="004C0727">
        <w:rPr>
          <w:rFonts w:ascii="Arial" w:hAnsi="Arial" w:cs="Arial"/>
        </w:rPr>
        <w:t>262/2006 Sb., zákoník práce, ve znění pozdějších předpisů</w:t>
      </w:r>
      <w:r>
        <w:rPr>
          <w:rFonts w:ascii="Arial" w:hAnsi="Arial" w:cs="Arial"/>
        </w:rPr>
        <w:t>,</w:t>
      </w:r>
      <w:r w:rsidRPr="004C0727">
        <w:rPr>
          <w:rFonts w:ascii="Arial" w:hAnsi="Arial" w:cs="Arial"/>
        </w:rPr>
        <w:t xml:space="preserve"> s tím, že výše uvedené podzákonné předpisy se na ně aplikují přiměřeně.</w:t>
      </w:r>
    </w:p>
    <w:p w14:paraId="47127BEF" w14:textId="77777777" w:rsidR="00FB13F4" w:rsidRPr="004C0727" w:rsidRDefault="00FB13F4" w:rsidP="00FB13F4">
      <w:pPr>
        <w:spacing w:after="100" w:afterAutospacing="1" w:line="276" w:lineRule="auto"/>
        <w:jc w:val="both"/>
        <w:rPr>
          <w:rFonts w:ascii="Arial" w:hAnsi="Arial" w:cs="Arial"/>
        </w:rPr>
      </w:pPr>
      <w:r w:rsidRPr="009F3530">
        <w:rPr>
          <w:rFonts w:ascii="Arial" w:hAnsi="Arial" w:cs="Arial"/>
          <w:b/>
          <w:bCs/>
        </w:rPr>
        <w:t>Se státním zaměstnancem je možné uzavřít Dohodu o výkonu státní služby z jiného místa</w:t>
      </w:r>
      <w:r w:rsidRPr="004C0727">
        <w:rPr>
          <w:rFonts w:ascii="Arial" w:hAnsi="Arial" w:cs="Arial"/>
        </w:rPr>
        <w:t>, se zaměstnancem v pracovním poměru pak Dohodu o výkonu práce z jiného místa</w:t>
      </w:r>
      <w:r w:rsidRPr="000E7CB9">
        <w:rPr>
          <w:rFonts w:ascii="Arial" w:hAnsi="Arial" w:cs="Arial"/>
          <w:b/>
          <w:bCs/>
        </w:rPr>
        <w:t>. Dohodu je možné uzavřít u činností, u kterých nebrání řádné plnění úkolů služebního úřadu</w:t>
      </w:r>
      <w:r w:rsidRPr="004C0727">
        <w:rPr>
          <w:rFonts w:ascii="Arial" w:hAnsi="Arial" w:cs="Arial"/>
        </w:rPr>
        <w:t xml:space="preserve">, resp.  zaměstnavatele, </w:t>
      </w:r>
      <w:r w:rsidRPr="000E7CB9">
        <w:rPr>
          <w:rFonts w:ascii="Arial" w:hAnsi="Arial" w:cs="Arial"/>
          <w:b/>
          <w:bCs/>
        </w:rPr>
        <w:t xml:space="preserve">s výjimkou činností vyjmenovaných v § 2 </w:t>
      </w:r>
      <w:r>
        <w:rPr>
          <w:rFonts w:ascii="Arial" w:hAnsi="Arial" w:cs="Arial"/>
          <w:b/>
          <w:bCs/>
        </w:rPr>
        <w:t xml:space="preserve">výše </w:t>
      </w:r>
      <w:r w:rsidRPr="000E7CB9">
        <w:rPr>
          <w:rFonts w:ascii="Arial" w:hAnsi="Arial" w:cs="Arial"/>
          <w:b/>
          <w:bCs/>
        </w:rPr>
        <w:t>uvedeného nařízení vlády</w:t>
      </w:r>
      <w:r w:rsidRPr="004C0727">
        <w:rPr>
          <w:rFonts w:ascii="Arial" w:hAnsi="Arial" w:cs="Arial"/>
        </w:rPr>
        <w:t xml:space="preserve">, u kterých takovou dohodu nelze uzavřít. </w:t>
      </w:r>
      <w:r w:rsidRPr="009F3530">
        <w:rPr>
          <w:rFonts w:ascii="Arial" w:hAnsi="Arial" w:cs="Arial"/>
          <w:b/>
          <w:bCs/>
        </w:rPr>
        <w:t xml:space="preserve">Zároveň je nutné, aby zaměstnancem vybrané pracoviště </w:t>
      </w:r>
      <w:r w:rsidRPr="004C0727">
        <w:rPr>
          <w:rFonts w:ascii="Arial" w:hAnsi="Arial" w:cs="Arial"/>
        </w:rPr>
        <w:t xml:space="preserve">v jiném místě </w:t>
      </w:r>
      <w:r w:rsidRPr="009F3530">
        <w:rPr>
          <w:rFonts w:ascii="Arial" w:hAnsi="Arial" w:cs="Arial"/>
          <w:b/>
          <w:bCs/>
        </w:rPr>
        <w:t>splňovalo podmínky bezpečného a zdraví neohrožujícího výkonu služby</w:t>
      </w:r>
      <w:r w:rsidRPr="004C0727">
        <w:rPr>
          <w:rFonts w:ascii="Arial" w:hAnsi="Arial" w:cs="Arial"/>
        </w:rPr>
        <w:t xml:space="preserve">, resp. práce a měl k dispozici nezbytné technické vybavení, včetně potřebného bezpečnostního zabezpečení informačních systémů, neboť výkon činností je v rámci finanční správy specifický a jsou na něj kladeny přísnější požadavky v oblasti kybernetické bezpečnosti. V neposlední řadě </w:t>
      </w:r>
      <w:r w:rsidRPr="009F3530">
        <w:rPr>
          <w:rFonts w:ascii="Arial" w:hAnsi="Arial" w:cs="Arial"/>
          <w:b/>
          <w:bCs/>
        </w:rPr>
        <w:t>při službě</w:t>
      </w:r>
      <w:r w:rsidRPr="004C0727">
        <w:rPr>
          <w:rFonts w:ascii="Arial" w:hAnsi="Arial" w:cs="Arial"/>
        </w:rPr>
        <w:t xml:space="preserve">, resp. práci z jiného místa </w:t>
      </w:r>
      <w:r w:rsidRPr="009F3530">
        <w:rPr>
          <w:rFonts w:ascii="Arial" w:hAnsi="Arial" w:cs="Arial"/>
          <w:b/>
          <w:bCs/>
        </w:rPr>
        <w:t>nesmí být omezen samotný výkon útvaru nebo spolupracujících útvarů</w:t>
      </w:r>
      <w:r w:rsidRPr="004C0727">
        <w:rPr>
          <w:rFonts w:ascii="Arial" w:hAnsi="Arial" w:cs="Arial"/>
        </w:rPr>
        <w:t>. Dohody o výkonu služby, resp. práce z jiného místa jsou sjednávány v intencích výše vyjmenovaných předpisů.</w:t>
      </w:r>
    </w:p>
    <w:p w14:paraId="2B29602F" w14:textId="77777777" w:rsidR="00FB13F4" w:rsidRPr="004C0727" w:rsidRDefault="00FB13F4" w:rsidP="00FB13F4">
      <w:pPr>
        <w:spacing w:after="1200" w:line="276" w:lineRule="auto"/>
        <w:jc w:val="both"/>
        <w:rPr>
          <w:rFonts w:ascii="Arial" w:hAnsi="Arial" w:cs="Arial"/>
        </w:rPr>
      </w:pPr>
      <w:r w:rsidRPr="009F3530">
        <w:rPr>
          <w:rFonts w:ascii="Arial" w:hAnsi="Arial" w:cs="Arial"/>
          <w:b/>
          <w:bCs/>
        </w:rPr>
        <w:t>Celkový rozsah nelze nikterak paušalizovat.</w:t>
      </w:r>
      <w:r w:rsidRPr="004C0727">
        <w:rPr>
          <w:rFonts w:ascii="Arial" w:hAnsi="Arial" w:cs="Arial"/>
        </w:rPr>
        <w:t xml:space="preserve"> Při posuzování rozsahu se vychází z individuálního posuzovaného případu a jeho dopadů na výkon služby/práce (státního) zaměstnance. </w:t>
      </w:r>
    </w:p>
    <w:p w14:paraId="5457ABD8" w14:textId="77777777" w:rsidR="003F7580" w:rsidRDefault="003F7580" w:rsidP="00FB13F4">
      <w:pPr>
        <w:spacing w:after="100" w:afterAutospacing="1" w:line="276" w:lineRule="auto"/>
        <w:jc w:val="both"/>
      </w:pPr>
    </w:p>
    <w:sectPr w:rsidR="003F7580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B3B"/>
    <w:multiLevelType w:val="hybridMultilevel"/>
    <w:tmpl w:val="9E8AC0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84E"/>
    <w:multiLevelType w:val="hybridMultilevel"/>
    <w:tmpl w:val="7CAC7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F4"/>
    <w:rsid w:val="003F7580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7314"/>
  <w15:chartTrackingRefBased/>
  <w15:docId w15:val="{050C582D-22DC-4D23-B2C6-D2D50188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3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1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2022-07-08T06:48:00Z</dcterms:created>
  <dcterms:modified xsi:type="dcterms:W3CDTF">2022-07-08T06:51:00Z</dcterms:modified>
</cp:coreProperties>
</file>