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81" w:rsidRDefault="00C20B81" w:rsidP="00C20B81">
      <w:pPr>
        <w:spacing w:after="100" w:afterAutospacing="1"/>
        <w:jc w:val="both"/>
        <w:rPr>
          <w:rFonts w:ascii="Arial" w:hAnsi="Arial" w:cs="Arial"/>
          <w:b/>
          <w:sz w:val="24"/>
          <w:szCs w:val="24"/>
          <w:u w:val="single"/>
        </w:rPr>
      </w:pPr>
      <w:r>
        <w:rPr>
          <w:rFonts w:ascii="Arial" w:hAnsi="Arial" w:cs="Arial"/>
          <w:b/>
          <w:sz w:val="24"/>
          <w:szCs w:val="24"/>
          <w:u w:val="single"/>
        </w:rPr>
        <w:t>Poskytnutá informace GFŘ podle zákona o svobodném přístupu k informacím 4</w:t>
      </w:r>
      <w:r w:rsidR="002F046A">
        <w:rPr>
          <w:rFonts w:ascii="Arial" w:hAnsi="Arial" w:cs="Arial"/>
          <w:b/>
          <w:sz w:val="24"/>
          <w:szCs w:val="24"/>
          <w:u w:val="single"/>
        </w:rPr>
        <w:t>4</w:t>
      </w:r>
      <w:r>
        <w:rPr>
          <w:rFonts w:ascii="Arial" w:hAnsi="Arial" w:cs="Arial"/>
          <w:b/>
          <w:sz w:val="24"/>
          <w:szCs w:val="24"/>
          <w:u w:val="single"/>
        </w:rPr>
        <w:t>/2022</w:t>
      </w:r>
    </w:p>
    <w:p w:rsidR="00C20B81" w:rsidRDefault="00C20B81" w:rsidP="00C20B81">
      <w:pPr>
        <w:jc w:val="both"/>
        <w:rPr>
          <w:rFonts w:ascii="Arial" w:hAnsi="Arial" w:cs="Arial"/>
          <w:b/>
          <w:sz w:val="24"/>
          <w:szCs w:val="24"/>
          <w:u w:val="single"/>
        </w:rPr>
      </w:pPr>
      <w:r w:rsidRPr="00AA7F74">
        <w:rPr>
          <w:rFonts w:ascii="Arial" w:hAnsi="Arial" w:cs="Arial"/>
          <w:b/>
          <w:sz w:val="24"/>
          <w:szCs w:val="24"/>
          <w:u w:val="single"/>
        </w:rPr>
        <w:t>Dotaz</w:t>
      </w:r>
      <w:r>
        <w:rPr>
          <w:rFonts w:ascii="Arial" w:hAnsi="Arial" w:cs="Arial"/>
          <w:b/>
          <w:sz w:val="24"/>
          <w:szCs w:val="24"/>
          <w:u w:val="single"/>
        </w:rPr>
        <w:t xml:space="preserve">: </w:t>
      </w:r>
    </w:p>
    <w:p w:rsidR="002F046A" w:rsidRDefault="002F046A" w:rsidP="002F046A">
      <w:pPr>
        <w:pStyle w:val="Default"/>
        <w:spacing w:after="100" w:afterAutospacing="1"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Žádáme o informace: </w:t>
      </w:r>
    </w:p>
    <w:p w:rsidR="002F046A" w:rsidRPr="002F046A" w:rsidRDefault="002F046A" w:rsidP="002F046A">
      <w:pPr>
        <w:pStyle w:val="Default"/>
        <w:spacing w:after="100" w:afterAutospacing="1" w:line="276" w:lineRule="auto"/>
        <w:jc w:val="both"/>
        <w:rPr>
          <w:rFonts w:ascii="Arial" w:hAnsi="Arial" w:cs="Arial"/>
          <w:sz w:val="22"/>
          <w:szCs w:val="22"/>
        </w:rPr>
      </w:pPr>
      <w:r w:rsidRPr="002F046A">
        <w:rPr>
          <w:rFonts w:ascii="Arial" w:eastAsiaTheme="minorHAnsi" w:hAnsi="Arial" w:cs="Arial"/>
          <w:sz w:val="22"/>
          <w:szCs w:val="22"/>
          <w:lang w:eastAsia="en-US"/>
        </w:rPr>
        <w:t>1) j</w:t>
      </w:r>
      <w:r w:rsidRPr="002F046A">
        <w:rPr>
          <w:rFonts w:ascii="Arial" w:hAnsi="Arial" w:cs="Arial"/>
          <w:sz w:val="22"/>
          <w:szCs w:val="22"/>
        </w:rPr>
        <w:t xml:space="preserve">aký je průměrný počet zaměstnanců a pracovníků Odvolacího finančního ředitelství, a to za každý jednotlivý kalendářní rok 2017, 2018, 2019, 2020 a 2021? </w:t>
      </w:r>
    </w:p>
    <w:p w:rsidR="002F046A" w:rsidRPr="002F046A" w:rsidRDefault="002F046A" w:rsidP="002F046A">
      <w:pPr>
        <w:pStyle w:val="Default"/>
        <w:spacing w:after="100" w:afterAutospacing="1" w:line="276" w:lineRule="auto"/>
        <w:jc w:val="both"/>
        <w:rPr>
          <w:rFonts w:ascii="Arial" w:hAnsi="Arial" w:cs="Arial"/>
          <w:sz w:val="22"/>
          <w:szCs w:val="22"/>
        </w:rPr>
      </w:pPr>
      <w:r w:rsidRPr="002F046A">
        <w:rPr>
          <w:rFonts w:ascii="Arial" w:hAnsi="Arial" w:cs="Arial"/>
          <w:sz w:val="22"/>
          <w:szCs w:val="22"/>
        </w:rPr>
        <w:t>2) Jaký je počet zaměstnanců a pracovníků Odvolacího finančního ředitelství, kteří se operativně a každodenně podílejí na řešení u něj probíhajících odvolacích řízení, tj. řízení o odvolání proti jakýmkoliv meritorním rozhodnutím, kterými byla prvostupňovým správcem daně stanovena daň (dále jen „</w:t>
      </w:r>
      <w:r w:rsidRPr="002F046A">
        <w:rPr>
          <w:rFonts w:ascii="Arial" w:hAnsi="Arial" w:cs="Arial"/>
          <w:b/>
          <w:bCs/>
          <w:sz w:val="22"/>
          <w:szCs w:val="22"/>
        </w:rPr>
        <w:t>Odvolací řízení</w:t>
      </w:r>
      <w:r w:rsidRPr="002F046A">
        <w:rPr>
          <w:rFonts w:ascii="Arial" w:hAnsi="Arial" w:cs="Arial"/>
          <w:sz w:val="22"/>
          <w:szCs w:val="22"/>
        </w:rPr>
        <w:t xml:space="preserve">“), a to za každý jednotlivý kalendářní rok 2017, 2018, 2019, 2020 a 2021? </w:t>
      </w:r>
    </w:p>
    <w:p w:rsidR="002F046A" w:rsidRPr="002F046A" w:rsidRDefault="002F046A" w:rsidP="002F046A">
      <w:pPr>
        <w:pStyle w:val="Default"/>
        <w:spacing w:after="100" w:afterAutospacing="1" w:line="276" w:lineRule="auto"/>
        <w:jc w:val="both"/>
        <w:rPr>
          <w:rFonts w:ascii="Arial" w:hAnsi="Arial" w:cs="Arial"/>
          <w:sz w:val="22"/>
          <w:szCs w:val="22"/>
        </w:rPr>
      </w:pPr>
      <w:r w:rsidRPr="002F046A">
        <w:rPr>
          <w:rFonts w:ascii="Arial" w:hAnsi="Arial" w:cs="Arial"/>
          <w:sz w:val="22"/>
          <w:szCs w:val="22"/>
        </w:rPr>
        <w:t>3) Jaký je průměrný počet Odvolacích řízení probíhajících u Odvolacího finančního ředitelství, které připadají na jednoho odpovědného zaměstnance či pracovníka Odvolacího finančního ředitelství, a to za každý jednotlivý kalendářní rok 2017, 2018, 2019, 2020 a 2021?</w:t>
      </w:r>
    </w:p>
    <w:p w:rsidR="002F046A" w:rsidRPr="002F046A" w:rsidRDefault="002F046A" w:rsidP="002F046A">
      <w:pPr>
        <w:pStyle w:val="Default"/>
        <w:spacing w:after="100" w:afterAutospacing="1" w:line="276" w:lineRule="auto"/>
        <w:jc w:val="both"/>
        <w:rPr>
          <w:rFonts w:ascii="Arial" w:hAnsi="Arial" w:cs="Arial"/>
          <w:sz w:val="22"/>
          <w:szCs w:val="22"/>
        </w:rPr>
      </w:pPr>
      <w:r w:rsidRPr="002F046A">
        <w:rPr>
          <w:rFonts w:ascii="Arial" w:hAnsi="Arial" w:cs="Arial"/>
          <w:sz w:val="22"/>
          <w:szCs w:val="22"/>
        </w:rPr>
        <w:t xml:space="preserve">Žadatel uvádí, že za tzv. daňové odvolací řízení ve smyslu ustanovení § 109 a násl. DŘ, považuje pro účely této Žádosti v rozsahu Informace jakékoliv řízení o odvolání proti jakýmkoliv meritorním rozhodnutím, kterými byla prvostupňovým správcem daně stanovena daň. Žadatel dále uvádí, že pod pojmem „daň“, resp. „daňový“, rozumí právní pojem definovaný v ustanovení § 2 odst. 3 DŘ ve spojení s ustanovením § 2 odst. 4 DŘ, tj.: </w:t>
      </w:r>
    </w:p>
    <w:p w:rsidR="002F046A" w:rsidRPr="002F046A" w:rsidRDefault="002F046A" w:rsidP="002F046A">
      <w:pPr>
        <w:pStyle w:val="Default"/>
        <w:numPr>
          <w:ilvl w:val="0"/>
          <w:numId w:val="1"/>
        </w:numPr>
        <w:spacing w:after="100" w:afterAutospacing="1" w:line="276" w:lineRule="auto"/>
        <w:jc w:val="both"/>
        <w:rPr>
          <w:rFonts w:ascii="Arial" w:hAnsi="Arial" w:cs="Arial"/>
          <w:sz w:val="22"/>
          <w:szCs w:val="22"/>
        </w:rPr>
      </w:pPr>
      <w:r w:rsidRPr="002F046A">
        <w:rPr>
          <w:rFonts w:ascii="Arial" w:hAnsi="Arial" w:cs="Arial"/>
          <w:sz w:val="22"/>
          <w:szCs w:val="22"/>
        </w:rPr>
        <w:t xml:space="preserve">peněžité plnění, které zákon označuje jako daň, clo nebo poplatek, </w:t>
      </w:r>
    </w:p>
    <w:p w:rsidR="002F046A" w:rsidRPr="002F046A" w:rsidRDefault="002F046A" w:rsidP="002F046A">
      <w:pPr>
        <w:pStyle w:val="Default"/>
        <w:numPr>
          <w:ilvl w:val="0"/>
          <w:numId w:val="1"/>
        </w:numPr>
        <w:spacing w:after="100" w:afterAutospacing="1" w:line="276" w:lineRule="auto"/>
        <w:jc w:val="both"/>
        <w:rPr>
          <w:rFonts w:ascii="Arial" w:hAnsi="Arial" w:cs="Arial"/>
          <w:sz w:val="22"/>
          <w:szCs w:val="22"/>
        </w:rPr>
      </w:pPr>
      <w:r w:rsidRPr="002F046A">
        <w:rPr>
          <w:rFonts w:ascii="Arial" w:hAnsi="Arial" w:cs="Arial"/>
          <w:sz w:val="22"/>
          <w:szCs w:val="22"/>
        </w:rPr>
        <w:t xml:space="preserve">peněžité plnění, pokud zákon stanoví, že se při jeho správě postupuje podle tohoto zákona, </w:t>
      </w:r>
    </w:p>
    <w:p w:rsidR="002F046A" w:rsidRPr="002F046A" w:rsidRDefault="002F046A" w:rsidP="002F046A">
      <w:pPr>
        <w:pStyle w:val="Default"/>
        <w:numPr>
          <w:ilvl w:val="0"/>
          <w:numId w:val="1"/>
        </w:numPr>
        <w:spacing w:after="100" w:afterAutospacing="1" w:line="276" w:lineRule="auto"/>
        <w:jc w:val="both"/>
        <w:rPr>
          <w:rFonts w:ascii="Arial" w:hAnsi="Arial" w:cs="Arial"/>
          <w:sz w:val="22"/>
          <w:szCs w:val="22"/>
        </w:rPr>
      </w:pPr>
      <w:r w:rsidRPr="002F046A">
        <w:rPr>
          <w:rFonts w:ascii="Arial" w:hAnsi="Arial" w:cs="Arial"/>
          <w:sz w:val="22"/>
          <w:szCs w:val="22"/>
        </w:rPr>
        <w:t xml:space="preserve">peněžité plnění v rámci dělené správy, </w:t>
      </w:r>
    </w:p>
    <w:p w:rsidR="002F046A" w:rsidRPr="002F046A" w:rsidRDefault="002F046A" w:rsidP="002F046A">
      <w:pPr>
        <w:pStyle w:val="Default"/>
        <w:numPr>
          <w:ilvl w:val="0"/>
          <w:numId w:val="1"/>
        </w:numPr>
        <w:spacing w:after="100" w:afterAutospacing="1" w:line="276" w:lineRule="auto"/>
        <w:jc w:val="both"/>
        <w:rPr>
          <w:rFonts w:ascii="Arial" w:hAnsi="Arial" w:cs="Arial"/>
          <w:sz w:val="22"/>
          <w:szCs w:val="22"/>
        </w:rPr>
      </w:pPr>
      <w:r w:rsidRPr="002F046A">
        <w:rPr>
          <w:rFonts w:ascii="Arial" w:hAnsi="Arial" w:cs="Arial"/>
          <w:sz w:val="22"/>
          <w:szCs w:val="22"/>
        </w:rPr>
        <w:t xml:space="preserve">daňový odpočet, daňovou ztrátu nebo jiný způsob zdanění a příslušenství daně. </w:t>
      </w:r>
    </w:p>
    <w:p w:rsidR="002F046A" w:rsidRPr="002F046A" w:rsidRDefault="002F046A" w:rsidP="002F046A">
      <w:pPr>
        <w:pStyle w:val="Default"/>
        <w:spacing w:after="100" w:afterAutospacing="1" w:line="276" w:lineRule="auto"/>
        <w:jc w:val="both"/>
        <w:rPr>
          <w:rFonts w:ascii="Arial" w:hAnsi="Arial" w:cs="Arial"/>
          <w:sz w:val="22"/>
          <w:szCs w:val="22"/>
        </w:rPr>
      </w:pPr>
      <w:r w:rsidRPr="002F046A">
        <w:rPr>
          <w:rFonts w:ascii="Arial" w:hAnsi="Arial" w:cs="Arial"/>
          <w:sz w:val="22"/>
          <w:szCs w:val="22"/>
        </w:rPr>
        <w:t>K časovému vymezení Žadatel specifikuje, že po Povinném subjektu žádá informaci, kolik bylo k 01. 01. daného kalendářního roku u Povinného subjektu aktivních a probíhajících řízeních o odvolání ve smyslu předešlých bodů. Pokud je vedeno společné odvolací řízení ve věci několika prvostupňových rozhodnutí, bude toto řízení uvedeno jako jedno. Pro Žadatele je současně nerozhodné, zda bylo následně rozhodnutí zrušeno a vráceno správním soudem k dalšímu řízení.</w:t>
      </w:r>
    </w:p>
    <w:p w:rsidR="002F046A" w:rsidRDefault="002F046A">
      <w:pPr>
        <w:rPr>
          <w:rFonts w:ascii="Arial" w:hAnsi="Arial" w:cs="Arial"/>
          <w:b/>
          <w:u w:val="single"/>
        </w:rPr>
      </w:pPr>
      <w:r>
        <w:rPr>
          <w:rFonts w:ascii="Arial" w:hAnsi="Arial" w:cs="Arial"/>
          <w:b/>
          <w:u w:val="single"/>
        </w:rPr>
        <w:br w:type="page"/>
      </w:r>
    </w:p>
    <w:p w:rsidR="00C20B81" w:rsidRPr="0006331D" w:rsidRDefault="00C20B81" w:rsidP="002F046A">
      <w:pPr>
        <w:autoSpaceDE w:val="0"/>
        <w:autoSpaceDN w:val="0"/>
        <w:adjustRightInd w:val="0"/>
        <w:spacing w:after="100" w:afterAutospacing="1" w:line="276" w:lineRule="auto"/>
        <w:jc w:val="both"/>
        <w:rPr>
          <w:rFonts w:ascii="Arial" w:hAnsi="Arial" w:cs="Arial"/>
          <w:b/>
          <w:u w:val="single"/>
        </w:rPr>
      </w:pPr>
      <w:r w:rsidRPr="0006331D">
        <w:rPr>
          <w:rFonts w:ascii="Arial" w:hAnsi="Arial" w:cs="Arial"/>
          <w:b/>
          <w:u w:val="single"/>
        </w:rPr>
        <w:lastRenderedPageBreak/>
        <w:t xml:space="preserve">Odpověď: </w:t>
      </w:r>
    </w:p>
    <w:p w:rsidR="002F046A" w:rsidRPr="00F83DC8" w:rsidRDefault="002F046A" w:rsidP="002F046A">
      <w:pPr>
        <w:spacing w:after="100" w:afterAutospacing="1" w:line="276" w:lineRule="auto"/>
        <w:jc w:val="both"/>
        <w:rPr>
          <w:rFonts w:ascii="Arial" w:hAnsi="Arial" w:cs="Arial"/>
        </w:rPr>
      </w:pPr>
      <w:r w:rsidRPr="00F83DC8">
        <w:rPr>
          <w:rFonts w:ascii="Arial" w:hAnsi="Arial" w:cs="Arial"/>
        </w:rPr>
        <w:t>Ad 1)</w:t>
      </w:r>
    </w:p>
    <w:tbl>
      <w:tblPr>
        <w:tblW w:w="9100" w:type="dxa"/>
        <w:tblCellMar>
          <w:left w:w="70" w:type="dxa"/>
          <w:right w:w="70" w:type="dxa"/>
        </w:tblCellMar>
        <w:tblLook w:val="04A0" w:firstRow="1" w:lastRow="0" w:firstColumn="1" w:lastColumn="0" w:noHBand="0" w:noVBand="1"/>
      </w:tblPr>
      <w:tblGrid>
        <w:gridCol w:w="4375"/>
        <w:gridCol w:w="992"/>
        <w:gridCol w:w="992"/>
        <w:gridCol w:w="871"/>
        <w:gridCol w:w="850"/>
        <w:gridCol w:w="1020"/>
      </w:tblGrid>
      <w:tr w:rsidR="002F046A" w:rsidRPr="00DF6B85" w:rsidTr="00242255">
        <w:trPr>
          <w:trHeight w:val="915"/>
        </w:trPr>
        <w:tc>
          <w:tcPr>
            <w:tcW w:w="9100" w:type="dxa"/>
            <w:gridSpan w:val="6"/>
            <w:tcBorders>
              <w:top w:val="nil"/>
              <w:left w:val="nil"/>
              <w:bottom w:val="single" w:sz="8" w:space="0" w:color="auto"/>
              <w:right w:val="nil"/>
            </w:tcBorders>
            <w:shd w:val="clear" w:color="auto" w:fill="auto"/>
            <w:vAlign w:val="center"/>
            <w:hideMark/>
          </w:tcPr>
          <w:p w:rsidR="002F046A" w:rsidRPr="00F83DC8" w:rsidRDefault="002F046A" w:rsidP="00242255">
            <w:pPr>
              <w:jc w:val="center"/>
              <w:rPr>
                <w:rFonts w:ascii="Arial" w:hAnsi="Arial" w:cs="Arial"/>
                <w:b/>
                <w:bCs/>
                <w:iCs/>
                <w:color w:val="000000"/>
              </w:rPr>
            </w:pPr>
            <w:r w:rsidRPr="00DF6B85">
              <w:rPr>
                <w:rFonts w:ascii="Arial" w:hAnsi="Arial" w:cs="Arial"/>
                <w:b/>
                <w:bCs/>
                <w:iCs/>
                <w:color w:val="000000"/>
              </w:rPr>
              <w:t>Průměrné počty zaměstnanců na syste</w:t>
            </w:r>
            <w:r w:rsidRPr="00F83DC8">
              <w:rPr>
                <w:rFonts w:ascii="Arial" w:hAnsi="Arial" w:cs="Arial"/>
                <w:b/>
                <w:bCs/>
                <w:iCs/>
                <w:color w:val="000000"/>
              </w:rPr>
              <w:t>mizovaných služebních místech a </w:t>
            </w:r>
            <w:r w:rsidRPr="00DF6B85">
              <w:rPr>
                <w:rFonts w:ascii="Arial" w:hAnsi="Arial" w:cs="Arial"/>
                <w:b/>
                <w:bCs/>
                <w:iCs/>
                <w:color w:val="000000"/>
              </w:rPr>
              <w:t xml:space="preserve">zaměstnanců na systemizovaných pracovních místech </w:t>
            </w:r>
          </w:p>
          <w:p w:rsidR="002F046A" w:rsidRPr="00DF6B85" w:rsidRDefault="002F046A" w:rsidP="00242255">
            <w:pPr>
              <w:jc w:val="center"/>
              <w:rPr>
                <w:rFonts w:ascii="Arial" w:hAnsi="Arial" w:cs="Arial"/>
                <w:b/>
                <w:bCs/>
                <w:iCs/>
                <w:color w:val="000000"/>
              </w:rPr>
            </w:pPr>
            <w:r w:rsidRPr="00DF6B85">
              <w:rPr>
                <w:rFonts w:ascii="Arial" w:hAnsi="Arial" w:cs="Arial"/>
                <w:b/>
                <w:bCs/>
                <w:iCs/>
                <w:color w:val="000000"/>
              </w:rPr>
              <w:t>Odvolacího finančního ředitelství v jednotlivých letech 2017 - 2021</w:t>
            </w:r>
          </w:p>
        </w:tc>
      </w:tr>
      <w:tr w:rsidR="002F046A" w:rsidRPr="00F83DC8" w:rsidTr="00242255">
        <w:trPr>
          <w:trHeight w:val="315"/>
        </w:trPr>
        <w:tc>
          <w:tcPr>
            <w:tcW w:w="4375" w:type="dxa"/>
            <w:tcBorders>
              <w:top w:val="nil"/>
              <w:left w:val="single" w:sz="8" w:space="0" w:color="auto"/>
              <w:bottom w:val="single" w:sz="8" w:space="0" w:color="auto"/>
              <w:right w:val="single" w:sz="8" w:space="0" w:color="auto"/>
            </w:tcBorders>
            <w:shd w:val="clear" w:color="000000" w:fill="F2F2F2"/>
            <w:vAlign w:val="center"/>
            <w:hideMark/>
          </w:tcPr>
          <w:p w:rsidR="002F046A" w:rsidRPr="00DF6B85" w:rsidRDefault="002F046A" w:rsidP="00242255">
            <w:pPr>
              <w:jc w:val="center"/>
              <w:rPr>
                <w:rFonts w:ascii="Arial" w:hAnsi="Arial" w:cs="Arial"/>
                <w:b/>
                <w:bCs/>
                <w:color w:val="000000"/>
              </w:rPr>
            </w:pPr>
            <w:r w:rsidRPr="00DF6B85">
              <w:rPr>
                <w:rFonts w:ascii="Arial" w:hAnsi="Arial" w:cs="Arial"/>
                <w:b/>
                <w:bCs/>
                <w:color w:val="000000"/>
              </w:rPr>
              <w:t>Odvolací finanční ředitelství</w:t>
            </w:r>
          </w:p>
        </w:tc>
        <w:tc>
          <w:tcPr>
            <w:tcW w:w="992" w:type="dxa"/>
            <w:tcBorders>
              <w:top w:val="nil"/>
              <w:left w:val="nil"/>
              <w:bottom w:val="single" w:sz="8" w:space="0" w:color="auto"/>
              <w:right w:val="single" w:sz="8" w:space="0" w:color="auto"/>
            </w:tcBorders>
            <w:shd w:val="clear" w:color="000000" w:fill="F2F2F2"/>
            <w:noWrap/>
            <w:vAlign w:val="center"/>
            <w:hideMark/>
          </w:tcPr>
          <w:p w:rsidR="002F046A" w:rsidRPr="00DF6B85" w:rsidRDefault="002F046A" w:rsidP="00242255">
            <w:pPr>
              <w:jc w:val="center"/>
              <w:rPr>
                <w:rFonts w:ascii="Arial" w:hAnsi="Arial" w:cs="Arial"/>
                <w:b/>
                <w:bCs/>
                <w:color w:val="000000"/>
              </w:rPr>
            </w:pPr>
            <w:r w:rsidRPr="00DF6B85">
              <w:rPr>
                <w:rFonts w:ascii="Arial" w:hAnsi="Arial" w:cs="Arial"/>
                <w:b/>
                <w:bCs/>
                <w:color w:val="000000"/>
              </w:rPr>
              <w:t>2017</w:t>
            </w:r>
          </w:p>
        </w:tc>
        <w:tc>
          <w:tcPr>
            <w:tcW w:w="992" w:type="dxa"/>
            <w:tcBorders>
              <w:top w:val="nil"/>
              <w:left w:val="nil"/>
              <w:bottom w:val="single" w:sz="8" w:space="0" w:color="auto"/>
              <w:right w:val="single" w:sz="8" w:space="0" w:color="auto"/>
            </w:tcBorders>
            <w:shd w:val="clear" w:color="000000" w:fill="F2F2F2"/>
            <w:noWrap/>
            <w:vAlign w:val="center"/>
            <w:hideMark/>
          </w:tcPr>
          <w:p w:rsidR="002F046A" w:rsidRPr="00DF6B85" w:rsidRDefault="002F046A" w:rsidP="00242255">
            <w:pPr>
              <w:jc w:val="center"/>
              <w:rPr>
                <w:rFonts w:ascii="Arial" w:hAnsi="Arial" w:cs="Arial"/>
                <w:b/>
                <w:bCs/>
                <w:color w:val="000000"/>
              </w:rPr>
            </w:pPr>
            <w:r w:rsidRPr="00DF6B85">
              <w:rPr>
                <w:rFonts w:ascii="Arial" w:hAnsi="Arial" w:cs="Arial"/>
                <w:b/>
                <w:bCs/>
                <w:color w:val="000000"/>
              </w:rPr>
              <w:t>2018</w:t>
            </w:r>
          </w:p>
        </w:tc>
        <w:tc>
          <w:tcPr>
            <w:tcW w:w="871" w:type="dxa"/>
            <w:tcBorders>
              <w:top w:val="nil"/>
              <w:left w:val="nil"/>
              <w:bottom w:val="single" w:sz="8" w:space="0" w:color="auto"/>
              <w:right w:val="single" w:sz="8" w:space="0" w:color="auto"/>
            </w:tcBorders>
            <w:shd w:val="clear" w:color="000000" w:fill="F2F2F2"/>
            <w:noWrap/>
            <w:vAlign w:val="center"/>
            <w:hideMark/>
          </w:tcPr>
          <w:p w:rsidR="002F046A" w:rsidRPr="00DF6B85" w:rsidRDefault="002F046A" w:rsidP="00242255">
            <w:pPr>
              <w:jc w:val="center"/>
              <w:rPr>
                <w:rFonts w:ascii="Arial" w:hAnsi="Arial" w:cs="Arial"/>
                <w:b/>
                <w:bCs/>
                <w:color w:val="000000"/>
              </w:rPr>
            </w:pPr>
            <w:r w:rsidRPr="00DF6B85">
              <w:rPr>
                <w:rFonts w:ascii="Arial" w:hAnsi="Arial" w:cs="Arial"/>
                <w:b/>
                <w:bCs/>
                <w:color w:val="000000"/>
              </w:rPr>
              <w:t>2019</w:t>
            </w:r>
          </w:p>
        </w:tc>
        <w:tc>
          <w:tcPr>
            <w:tcW w:w="850" w:type="dxa"/>
            <w:tcBorders>
              <w:top w:val="nil"/>
              <w:left w:val="nil"/>
              <w:bottom w:val="single" w:sz="8" w:space="0" w:color="auto"/>
              <w:right w:val="single" w:sz="8" w:space="0" w:color="auto"/>
            </w:tcBorders>
            <w:shd w:val="clear" w:color="000000" w:fill="F2F2F2"/>
            <w:noWrap/>
            <w:vAlign w:val="center"/>
            <w:hideMark/>
          </w:tcPr>
          <w:p w:rsidR="002F046A" w:rsidRPr="00DF6B85" w:rsidRDefault="002F046A" w:rsidP="00242255">
            <w:pPr>
              <w:jc w:val="center"/>
              <w:rPr>
                <w:rFonts w:ascii="Arial" w:hAnsi="Arial" w:cs="Arial"/>
                <w:b/>
                <w:bCs/>
                <w:color w:val="000000"/>
              </w:rPr>
            </w:pPr>
            <w:r w:rsidRPr="00DF6B85">
              <w:rPr>
                <w:rFonts w:ascii="Arial" w:hAnsi="Arial" w:cs="Arial"/>
                <w:b/>
                <w:bCs/>
                <w:color w:val="000000"/>
              </w:rPr>
              <w:t>2020</w:t>
            </w:r>
          </w:p>
        </w:tc>
        <w:tc>
          <w:tcPr>
            <w:tcW w:w="1020" w:type="dxa"/>
            <w:tcBorders>
              <w:top w:val="nil"/>
              <w:left w:val="nil"/>
              <w:bottom w:val="single" w:sz="8" w:space="0" w:color="auto"/>
              <w:right w:val="single" w:sz="8" w:space="0" w:color="auto"/>
            </w:tcBorders>
            <w:shd w:val="clear" w:color="000000" w:fill="F2F2F2"/>
            <w:noWrap/>
            <w:vAlign w:val="center"/>
            <w:hideMark/>
          </w:tcPr>
          <w:p w:rsidR="002F046A" w:rsidRPr="00DF6B85" w:rsidRDefault="002F046A" w:rsidP="00242255">
            <w:pPr>
              <w:jc w:val="center"/>
              <w:rPr>
                <w:rFonts w:ascii="Arial" w:hAnsi="Arial" w:cs="Arial"/>
                <w:b/>
                <w:bCs/>
                <w:color w:val="000000"/>
              </w:rPr>
            </w:pPr>
            <w:r w:rsidRPr="00DF6B85">
              <w:rPr>
                <w:rFonts w:ascii="Arial" w:hAnsi="Arial" w:cs="Arial"/>
                <w:b/>
                <w:bCs/>
                <w:color w:val="000000"/>
              </w:rPr>
              <w:t>2021</w:t>
            </w:r>
          </w:p>
        </w:tc>
      </w:tr>
      <w:tr w:rsidR="002F046A" w:rsidRPr="00F83DC8" w:rsidTr="00242255">
        <w:trPr>
          <w:trHeight w:val="315"/>
        </w:trPr>
        <w:tc>
          <w:tcPr>
            <w:tcW w:w="4375" w:type="dxa"/>
            <w:tcBorders>
              <w:top w:val="nil"/>
              <w:left w:val="single" w:sz="8" w:space="0" w:color="auto"/>
              <w:bottom w:val="single" w:sz="8" w:space="0" w:color="auto"/>
              <w:right w:val="single" w:sz="8" w:space="0" w:color="auto"/>
            </w:tcBorders>
            <w:shd w:val="clear" w:color="auto" w:fill="auto"/>
            <w:vAlign w:val="center"/>
            <w:hideMark/>
          </w:tcPr>
          <w:p w:rsidR="002F046A" w:rsidRPr="00DF6B85" w:rsidRDefault="002F046A" w:rsidP="00242255">
            <w:pPr>
              <w:jc w:val="center"/>
              <w:rPr>
                <w:rFonts w:ascii="Arial" w:hAnsi="Arial" w:cs="Arial"/>
                <w:b/>
                <w:bCs/>
                <w:color w:val="000000"/>
              </w:rPr>
            </w:pPr>
            <w:r w:rsidRPr="00DF6B85">
              <w:rPr>
                <w:rFonts w:ascii="Arial" w:hAnsi="Arial" w:cs="Arial"/>
                <w:b/>
                <w:bCs/>
                <w:color w:val="000000"/>
              </w:rPr>
              <w:t>průměrný počet zaměstnanců na SSM</w:t>
            </w:r>
          </w:p>
        </w:tc>
        <w:tc>
          <w:tcPr>
            <w:tcW w:w="992" w:type="dxa"/>
            <w:tcBorders>
              <w:top w:val="nil"/>
              <w:left w:val="nil"/>
              <w:bottom w:val="single" w:sz="8" w:space="0" w:color="auto"/>
              <w:right w:val="single" w:sz="8" w:space="0" w:color="auto"/>
            </w:tcBorders>
            <w:shd w:val="clear" w:color="auto" w:fill="auto"/>
            <w:noWrap/>
            <w:vAlign w:val="center"/>
            <w:hideMark/>
          </w:tcPr>
          <w:p w:rsidR="002F046A" w:rsidRPr="00DF6B85" w:rsidRDefault="002F046A" w:rsidP="00242255">
            <w:pPr>
              <w:jc w:val="center"/>
              <w:rPr>
                <w:rFonts w:ascii="Arial" w:hAnsi="Arial" w:cs="Arial"/>
                <w:color w:val="000000"/>
              </w:rPr>
            </w:pPr>
            <w:r w:rsidRPr="00DF6B85">
              <w:rPr>
                <w:rFonts w:ascii="Arial" w:hAnsi="Arial" w:cs="Arial"/>
                <w:color w:val="000000"/>
              </w:rPr>
              <w:t>247</w:t>
            </w:r>
          </w:p>
        </w:tc>
        <w:tc>
          <w:tcPr>
            <w:tcW w:w="992" w:type="dxa"/>
            <w:tcBorders>
              <w:top w:val="nil"/>
              <w:left w:val="nil"/>
              <w:bottom w:val="single" w:sz="8" w:space="0" w:color="auto"/>
              <w:right w:val="single" w:sz="8" w:space="0" w:color="auto"/>
            </w:tcBorders>
            <w:shd w:val="clear" w:color="auto" w:fill="auto"/>
            <w:noWrap/>
            <w:vAlign w:val="center"/>
            <w:hideMark/>
          </w:tcPr>
          <w:p w:rsidR="002F046A" w:rsidRPr="00DF6B85" w:rsidRDefault="002F046A" w:rsidP="00242255">
            <w:pPr>
              <w:jc w:val="center"/>
              <w:rPr>
                <w:rFonts w:ascii="Arial" w:hAnsi="Arial" w:cs="Arial"/>
                <w:color w:val="000000"/>
              </w:rPr>
            </w:pPr>
            <w:r w:rsidRPr="00DF6B85">
              <w:rPr>
                <w:rFonts w:ascii="Arial" w:hAnsi="Arial" w:cs="Arial"/>
                <w:color w:val="000000"/>
              </w:rPr>
              <w:t>252</w:t>
            </w:r>
          </w:p>
        </w:tc>
        <w:tc>
          <w:tcPr>
            <w:tcW w:w="871" w:type="dxa"/>
            <w:tcBorders>
              <w:top w:val="nil"/>
              <w:left w:val="nil"/>
              <w:bottom w:val="single" w:sz="8" w:space="0" w:color="auto"/>
              <w:right w:val="single" w:sz="8" w:space="0" w:color="auto"/>
            </w:tcBorders>
            <w:shd w:val="clear" w:color="auto" w:fill="auto"/>
            <w:noWrap/>
            <w:vAlign w:val="center"/>
            <w:hideMark/>
          </w:tcPr>
          <w:p w:rsidR="002F046A" w:rsidRPr="00DF6B85" w:rsidRDefault="002F046A" w:rsidP="00242255">
            <w:pPr>
              <w:jc w:val="center"/>
              <w:rPr>
                <w:rFonts w:ascii="Arial" w:hAnsi="Arial" w:cs="Arial"/>
                <w:color w:val="000000"/>
              </w:rPr>
            </w:pPr>
            <w:r w:rsidRPr="00DF6B85">
              <w:rPr>
                <w:rFonts w:ascii="Arial" w:hAnsi="Arial" w:cs="Arial"/>
                <w:color w:val="000000"/>
              </w:rPr>
              <w:t>244</w:t>
            </w:r>
          </w:p>
        </w:tc>
        <w:tc>
          <w:tcPr>
            <w:tcW w:w="850" w:type="dxa"/>
            <w:tcBorders>
              <w:top w:val="nil"/>
              <w:left w:val="nil"/>
              <w:bottom w:val="single" w:sz="8" w:space="0" w:color="auto"/>
              <w:right w:val="single" w:sz="8" w:space="0" w:color="auto"/>
            </w:tcBorders>
            <w:shd w:val="clear" w:color="auto" w:fill="auto"/>
            <w:noWrap/>
            <w:vAlign w:val="center"/>
            <w:hideMark/>
          </w:tcPr>
          <w:p w:rsidR="002F046A" w:rsidRPr="00DF6B85" w:rsidRDefault="002F046A" w:rsidP="00242255">
            <w:pPr>
              <w:jc w:val="center"/>
              <w:rPr>
                <w:rFonts w:ascii="Arial" w:hAnsi="Arial" w:cs="Arial"/>
                <w:color w:val="000000"/>
              </w:rPr>
            </w:pPr>
            <w:r w:rsidRPr="00DF6B85">
              <w:rPr>
                <w:rFonts w:ascii="Arial" w:hAnsi="Arial" w:cs="Arial"/>
                <w:color w:val="000000"/>
              </w:rPr>
              <w:t>238</w:t>
            </w:r>
          </w:p>
        </w:tc>
        <w:tc>
          <w:tcPr>
            <w:tcW w:w="1020" w:type="dxa"/>
            <w:tcBorders>
              <w:top w:val="nil"/>
              <w:left w:val="nil"/>
              <w:bottom w:val="single" w:sz="8" w:space="0" w:color="auto"/>
              <w:right w:val="single" w:sz="8" w:space="0" w:color="auto"/>
            </w:tcBorders>
            <w:shd w:val="clear" w:color="auto" w:fill="auto"/>
            <w:noWrap/>
            <w:vAlign w:val="center"/>
            <w:hideMark/>
          </w:tcPr>
          <w:p w:rsidR="002F046A" w:rsidRPr="00DF6B85" w:rsidRDefault="002F046A" w:rsidP="00242255">
            <w:pPr>
              <w:jc w:val="center"/>
              <w:rPr>
                <w:rFonts w:ascii="Arial" w:hAnsi="Arial" w:cs="Arial"/>
                <w:color w:val="000000"/>
              </w:rPr>
            </w:pPr>
            <w:r w:rsidRPr="00DF6B85">
              <w:rPr>
                <w:rFonts w:ascii="Arial" w:hAnsi="Arial" w:cs="Arial"/>
                <w:color w:val="000000"/>
              </w:rPr>
              <w:t>233</w:t>
            </w:r>
          </w:p>
        </w:tc>
      </w:tr>
      <w:tr w:rsidR="002F046A" w:rsidRPr="00F83DC8" w:rsidTr="00242255">
        <w:trPr>
          <w:trHeight w:val="315"/>
        </w:trPr>
        <w:tc>
          <w:tcPr>
            <w:tcW w:w="4375" w:type="dxa"/>
            <w:tcBorders>
              <w:top w:val="nil"/>
              <w:left w:val="single" w:sz="8" w:space="0" w:color="auto"/>
              <w:bottom w:val="single" w:sz="8" w:space="0" w:color="auto"/>
              <w:right w:val="single" w:sz="8" w:space="0" w:color="auto"/>
            </w:tcBorders>
            <w:shd w:val="clear" w:color="auto" w:fill="auto"/>
            <w:vAlign w:val="center"/>
            <w:hideMark/>
          </w:tcPr>
          <w:p w:rsidR="002F046A" w:rsidRPr="00DF6B85" w:rsidRDefault="002F046A" w:rsidP="00242255">
            <w:pPr>
              <w:jc w:val="center"/>
              <w:rPr>
                <w:rFonts w:ascii="Arial" w:hAnsi="Arial" w:cs="Arial"/>
                <w:b/>
                <w:bCs/>
                <w:color w:val="000000"/>
              </w:rPr>
            </w:pPr>
            <w:r w:rsidRPr="00DF6B85">
              <w:rPr>
                <w:rFonts w:ascii="Arial" w:hAnsi="Arial" w:cs="Arial"/>
                <w:b/>
                <w:bCs/>
                <w:color w:val="000000"/>
              </w:rPr>
              <w:t>průměrný počet zaměstnanců na SPM</w:t>
            </w:r>
          </w:p>
        </w:tc>
        <w:tc>
          <w:tcPr>
            <w:tcW w:w="992" w:type="dxa"/>
            <w:tcBorders>
              <w:top w:val="nil"/>
              <w:left w:val="nil"/>
              <w:bottom w:val="single" w:sz="8" w:space="0" w:color="auto"/>
              <w:right w:val="single" w:sz="8" w:space="0" w:color="auto"/>
            </w:tcBorders>
            <w:shd w:val="clear" w:color="auto" w:fill="auto"/>
            <w:noWrap/>
            <w:vAlign w:val="center"/>
            <w:hideMark/>
          </w:tcPr>
          <w:p w:rsidR="002F046A" w:rsidRPr="00DF6B85" w:rsidRDefault="002F046A" w:rsidP="00242255">
            <w:pPr>
              <w:jc w:val="center"/>
              <w:rPr>
                <w:rFonts w:ascii="Arial" w:hAnsi="Arial" w:cs="Arial"/>
                <w:color w:val="000000"/>
              </w:rPr>
            </w:pPr>
            <w:r w:rsidRPr="00DF6B85">
              <w:rPr>
                <w:rFonts w:ascii="Arial" w:hAnsi="Arial" w:cs="Arial"/>
                <w:color w:val="000000"/>
              </w:rPr>
              <w:t>4</w:t>
            </w:r>
          </w:p>
        </w:tc>
        <w:tc>
          <w:tcPr>
            <w:tcW w:w="992" w:type="dxa"/>
            <w:tcBorders>
              <w:top w:val="nil"/>
              <w:left w:val="nil"/>
              <w:bottom w:val="single" w:sz="8" w:space="0" w:color="auto"/>
              <w:right w:val="single" w:sz="8" w:space="0" w:color="auto"/>
            </w:tcBorders>
            <w:shd w:val="clear" w:color="auto" w:fill="auto"/>
            <w:noWrap/>
            <w:vAlign w:val="center"/>
            <w:hideMark/>
          </w:tcPr>
          <w:p w:rsidR="002F046A" w:rsidRPr="00DF6B85" w:rsidRDefault="002F046A" w:rsidP="00242255">
            <w:pPr>
              <w:jc w:val="center"/>
              <w:rPr>
                <w:rFonts w:ascii="Arial" w:hAnsi="Arial" w:cs="Arial"/>
                <w:color w:val="000000"/>
              </w:rPr>
            </w:pPr>
            <w:r w:rsidRPr="00DF6B85">
              <w:rPr>
                <w:rFonts w:ascii="Arial" w:hAnsi="Arial" w:cs="Arial"/>
                <w:color w:val="000000"/>
              </w:rPr>
              <w:t>4</w:t>
            </w:r>
          </w:p>
        </w:tc>
        <w:tc>
          <w:tcPr>
            <w:tcW w:w="871" w:type="dxa"/>
            <w:tcBorders>
              <w:top w:val="nil"/>
              <w:left w:val="nil"/>
              <w:bottom w:val="single" w:sz="8" w:space="0" w:color="auto"/>
              <w:right w:val="single" w:sz="8" w:space="0" w:color="auto"/>
            </w:tcBorders>
            <w:shd w:val="clear" w:color="auto" w:fill="auto"/>
            <w:noWrap/>
            <w:vAlign w:val="center"/>
            <w:hideMark/>
          </w:tcPr>
          <w:p w:rsidR="002F046A" w:rsidRPr="00DF6B85" w:rsidRDefault="002F046A" w:rsidP="00242255">
            <w:pPr>
              <w:jc w:val="center"/>
              <w:rPr>
                <w:rFonts w:ascii="Arial" w:hAnsi="Arial" w:cs="Arial"/>
                <w:color w:val="000000"/>
              </w:rPr>
            </w:pPr>
            <w:r w:rsidRPr="00DF6B85">
              <w:rPr>
                <w:rFonts w:ascii="Arial" w:hAnsi="Arial" w:cs="Arial"/>
                <w:color w:val="000000"/>
              </w:rPr>
              <w:t>4</w:t>
            </w:r>
          </w:p>
        </w:tc>
        <w:tc>
          <w:tcPr>
            <w:tcW w:w="850" w:type="dxa"/>
            <w:tcBorders>
              <w:top w:val="nil"/>
              <w:left w:val="nil"/>
              <w:bottom w:val="single" w:sz="8" w:space="0" w:color="auto"/>
              <w:right w:val="single" w:sz="8" w:space="0" w:color="auto"/>
            </w:tcBorders>
            <w:shd w:val="clear" w:color="auto" w:fill="auto"/>
            <w:noWrap/>
            <w:vAlign w:val="center"/>
            <w:hideMark/>
          </w:tcPr>
          <w:p w:rsidR="002F046A" w:rsidRPr="00DF6B85" w:rsidRDefault="002F046A" w:rsidP="00242255">
            <w:pPr>
              <w:jc w:val="center"/>
              <w:rPr>
                <w:rFonts w:ascii="Arial" w:hAnsi="Arial" w:cs="Arial"/>
                <w:color w:val="000000"/>
              </w:rPr>
            </w:pPr>
            <w:r w:rsidRPr="00DF6B85">
              <w:rPr>
                <w:rFonts w:ascii="Arial" w:hAnsi="Arial" w:cs="Arial"/>
                <w:color w:val="000000"/>
              </w:rPr>
              <w:t>3</w:t>
            </w:r>
          </w:p>
        </w:tc>
        <w:tc>
          <w:tcPr>
            <w:tcW w:w="1020" w:type="dxa"/>
            <w:tcBorders>
              <w:top w:val="nil"/>
              <w:left w:val="nil"/>
              <w:bottom w:val="single" w:sz="8" w:space="0" w:color="auto"/>
              <w:right w:val="single" w:sz="8" w:space="0" w:color="auto"/>
            </w:tcBorders>
            <w:shd w:val="clear" w:color="auto" w:fill="auto"/>
            <w:noWrap/>
            <w:vAlign w:val="center"/>
            <w:hideMark/>
          </w:tcPr>
          <w:p w:rsidR="002F046A" w:rsidRPr="00DF6B85" w:rsidRDefault="002F046A" w:rsidP="00242255">
            <w:pPr>
              <w:jc w:val="center"/>
              <w:rPr>
                <w:rFonts w:ascii="Arial" w:hAnsi="Arial" w:cs="Arial"/>
                <w:color w:val="000000"/>
              </w:rPr>
            </w:pPr>
            <w:r w:rsidRPr="00DF6B85">
              <w:rPr>
                <w:rFonts w:ascii="Arial" w:hAnsi="Arial" w:cs="Arial"/>
                <w:color w:val="000000"/>
              </w:rPr>
              <w:t>3</w:t>
            </w:r>
          </w:p>
        </w:tc>
      </w:tr>
    </w:tbl>
    <w:p w:rsidR="002F046A" w:rsidRPr="00F83DC8" w:rsidRDefault="002F046A" w:rsidP="002F046A">
      <w:pPr>
        <w:spacing w:after="100" w:afterAutospacing="1" w:line="276" w:lineRule="auto"/>
        <w:jc w:val="both"/>
        <w:rPr>
          <w:rFonts w:ascii="Arial" w:hAnsi="Arial" w:cs="Arial"/>
        </w:rPr>
      </w:pPr>
    </w:p>
    <w:p w:rsidR="002F046A" w:rsidRPr="00F83DC8" w:rsidRDefault="002F046A" w:rsidP="002F046A">
      <w:pPr>
        <w:spacing w:after="100" w:afterAutospacing="1" w:line="276" w:lineRule="auto"/>
        <w:jc w:val="both"/>
        <w:rPr>
          <w:rFonts w:ascii="Arial" w:hAnsi="Arial" w:cs="Arial"/>
        </w:rPr>
      </w:pPr>
      <w:r w:rsidRPr="00F83DC8">
        <w:rPr>
          <w:rFonts w:ascii="Arial" w:hAnsi="Arial" w:cs="Arial"/>
        </w:rPr>
        <w:t xml:space="preserve">Ad 2) </w:t>
      </w:r>
    </w:p>
    <w:p w:rsidR="002F046A" w:rsidRPr="00F83DC8" w:rsidRDefault="002F046A" w:rsidP="002F046A">
      <w:pPr>
        <w:jc w:val="center"/>
        <w:rPr>
          <w:rFonts w:ascii="Arial" w:hAnsi="Arial" w:cs="Arial"/>
          <w:b/>
          <w:bCs/>
          <w:iCs/>
          <w:color w:val="000000"/>
        </w:rPr>
      </w:pPr>
      <w:r w:rsidRPr="00F83DC8">
        <w:rPr>
          <w:rFonts w:ascii="Arial" w:hAnsi="Arial" w:cs="Arial"/>
          <w:b/>
          <w:bCs/>
          <w:iCs/>
          <w:color w:val="000000"/>
        </w:rPr>
        <w:t xml:space="preserve">Přepočetný počet zaměstnanců se specifikací činnosti „Řízení o opravných a dozorčích prostředcích“ na OFŘ </w:t>
      </w:r>
      <w:r>
        <w:rPr>
          <w:rFonts w:ascii="Arial" w:hAnsi="Arial" w:cs="Arial"/>
          <w:b/>
          <w:bCs/>
          <w:iCs/>
          <w:color w:val="000000"/>
        </w:rPr>
        <w:t>dle personální aplikace</w:t>
      </w:r>
    </w:p>
    <w:tbl>
      <w:tblPr>
        <w:tblW w:w="5760" w:type="dxa"/>
        <w:tblInd w:w="1646" w:type="dxa"/>
        <w:tblCellMar>
          <w:left w:w="0" w:type="dxa"/>
          <w:right w:w="0" w:type="dxa"/>
        </w:tblCellMar>
        <w:tblLook w:val="04A0" w:firstRow="1" w:lastRow="0" w:firstColumn="1" w:lastColumn="0" w:noHBand="0" w:noVBand="1"/>
      </w:tblPr>
      <w:tblGrid>
        <w:gridCol w:w="1440"/>
        <w:gridCol w:w="1440"/>
        <w:gridCol w:w="1440"/>
        <w:gridCol w:w="1440"/>
      </w:tblGrid>
      <w:tr w:rsidR="002F046A" w:rsidRPr="00F83DC8" w:rsidTr="00242255">
        <w:trPr>
          <w:trHeight w:val="315"/>
        </w:trPr>
        <w:tc>
          <w:tcPr>
            <w:tcW w:w="1440" w:type="dxa"/>
            <w:tcBorders>
              <w:top w:val="single" w:sz="8" w:space="0" w:color="auto"/>
              <w:left w:val="single" w:sz="8" w:space="0" w:color="auto"/>
              <w:bottom w:val="nil"/>
              <w:right w:val="single" w:sz="8" w:space="0" w:color="auto"/>
            </w:tcBorders>
            <w:shd w:val="clear" w:color="auto" w:fill="E7E6E6" w:themeFill="background2"/>
            <w:noWrap/>
            <w:tcMar>
              <w:top w:w="0" w:type="dxa"/>
              <w:left w:w="70" w:type="dxa"/>
              <w:bottom w:w="0" w:type="dxa"/>
              <w:right w:w="70" w:type="dxa"/>
            </w:tcMar>
            <w:vAlign w:val="bottom"/>
            <w:hideMark/>
          </w:tcPr>
          <w:p w:rsidR="002F046A" w:rsidRPr="00F83DC8" w:rsidRDefault="002F046A" w:rsidP="00242255">
            <w:pPr>
              <w:jc w:val="center"/>
              <w:rPr>
                <w:rFonts w:ascii="Arial" w:hAnsi="Arial" w:cs="Arial"/>
                <w:b/>
                <w:bCs/>
                <w:color w:val="000000"/>
              </w:rPr>
            </w:pPr>
            <w:r w:rsidRPr="00F83DC8">
              <w:rPr>
                <w:rFonts w:ascii="Arial" w:hAnsi="Arial" w:cs="Arial"/>
                <w:b/>
                <w:bCs/>
                <w:color w:val="000000"/>
              </w:rPr>
              <w:t>31. 12. 2018</w:t>
            </w:r>
          </w:p>
        </w:tc>
        <w:tc>
          <w:tcPr>
            <w:tcW w:w="1440" w:type="dxa"/>
            <w:tcBorders>
              <w:top w:val="single" w:sz="8" w:space="0" w:color="auto"/>
              <w:left w:val="nil"/>
              <w:bottom w:val="nil"/>
              <w:right w:val="single" w:sz="8" w:space="0" w:color="auto"/>
            </w:tcBorders>
            <w:shd w:val="clear" w:color="auto" w:fill="E7E6E6" w:themeFill="background2"/>
            <w:noWrap/>
            <w:tcMar>
              <w:top w:w="0" w:type="dxa"/>
              <w:left w:w="70" w:type="dxa"/>
              <w:bottom w:w="0" w:type="dxa"/>
              <w:right w:w="70" w:type="dxa"/>
            </w:tcMar>
            <w:vAlign w:val="bottom"/>
            <w:hideMark/>
          </w:tcPr>
          <w:p w:rsidR="002F046A" w:rsidRPr="00F83DC8" w:rsidRDefault="002F046A" w:rsidP="00242255">
            <w:pPr>
              <w:jc w:val="center"/>
              <w:rPr>
                <w:rFonts w:ascii="Arial" w:hAnsi="Arial" w:cs="Arial"/>
                <w:b/>
                <w:bCs/>
                <w:color w:val="000000"/>
              </w:rPr>
            </w:pPr>
            <w:r w:rsidRPr="00F83DC8">
              <w:rPr>
                <w:rFonts w:ascii="Arial" w:hAnsi="Arial" w:cs="Arial"/>
                <w:b/>
                <w:bCs/>
                <w:color w:val="000000"/>
              </w:rPr>
              <w:t>31. 12. 2019</w:t>
            </w:r>
          </w:p>
        </w:tc>
        <w:tc>
          <w:tcPr>
            <w:tcW w:w="1440" w:type="dxa"/>
            <w:tcBorders>
              <w:top w:val="single" w:sz="8" w:space="0" w:color="auto"/>
              <w:left w:val="nil"/>
              <w:bottom w:val="nil"/>
              <w:right w:val="single" w:sz="8" w:space="0" w:color="auto"/>
            </w:tcBorders>
            <w:shd w:val="clear" w:color="auto" w:fill="E7E6E6" w:themeFill="background2"/>
            <w:noWrap/>
            <w:tcMar>
              <w:top w:w="0" w:type="dxa"/>
              <w:left w:w="70" w:type="dxa"/>
              <w:bottom w:w="0" w:type="dxa"/>
              <w:right w:w="70" w:type="dxa"/>
            </w:tcMar>
            <w:vAlign w:val="bottom"/>
            <w:hideMark/>
          </w:tcPr>
          <w:p w:rsidR="002F046A" w:rsidRPr="00F83DC8" w:rsidRDefault="002F046A" w:rsidP="00242255">
            <w:pPr>
              <w:jc w:val="center"/>
              <w:rPr>
                <w:rFonts w:ascii="Arial" w:hAnsi="Arial" w:cs="Arial"/>
                <w:b/>
                <w:bCs/>
                <w:color w:val="000000"/>
              </w:rPr>
            </w:pPr>
            <w:r w:rsidRPr="00F83DC8">
              <w:rPr>
                <w:rFonts w:ascii="Arial" w:hAnsi="Arial" w:cs="Arial"/>
                <w:b/>
                <w:bCs/>
                <w:color w:val="000000"/>
              </w:rPr>
              <w:t>31. 12. 2020</w:t>
            </w:r>
          </w:p>
        </w:tc>
        <w:tc>
          <w:tcPr>
            <w:tcW w:w="1440" w:type="dxa"/>
            <w:tcBorders>
              <w:top w:val="single" w:sz="8" w:space="0" w:color="auto"/>
              <w:left w:val="nil"/>
              <w:bottom w:val="nil"/>
              <w:right w:val="single" w:sz="8" w:space="0" w:color="auto"/>
            </w:tcBorders>
            <w:shd w:val="clear" w:color="auto" w:fill="E7E6E6" w:themeFill="background2"/>
            <w:noWrap/>
            <w:tcMar>
              <w:top w:w="0" w:type="dxa"/>
              <w:left w:w="70" w:type="dxa"/>
              <w:bottom w:w="0" w:type="dxa"/>
              <w:right w:w="70" w:type="dxa"/>
            </w:tcMar>
            <w:vAlign w:val="bottom"/>
            <w:hideMark/>
          </w:tcPr>
          <w:p w:rsidR="002F046A" w:rsidRPr="00F83DC8" w:rsidRDefault="002F046A" w:rsidP="00242255">
            <w:pPr>
              <w:jc w:val="center"/>
              <w:rPr>
                <w:rFonts w:ascii="Arial" w:hAnsi="Arial" w:cs="Arial"/>
                <w:b/>
                <w:bCs/>
                <w:color w:val="000000"/>
              </w:rPr>
            </w:pPr>
            <w:r w:rsidRPr="00F83DC8">
              <w:rPr>
                <w:rFonts w:ascii="Arial" w:hAnsi="Arial" w:cs="Arial"/>
                <w:b/>
                <w:bCs/>
                <w:color w:val="000000"/>
              </w:rPr>
              <w:t>31. 12. 2021</w:t>
            </w:r>
          </w:p>
        </w:tc>
      </w:tr>
      <w:tr w:rsidR="002F046A" w:rsidRPr="00F83DC8" w:rsidTr="00242255">
        <w:trPr>
          <w:trHeight w:val="315"/>
        </w:trPr>
        <w:tc>
          <w:tcPr>
            <w:tcW w:w="144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2F046A" w:rsidRPr="00F83DC8" w:rsidRDefault="002F046A" w:rsidP="00242255">
            <w:pPr>
              <w:jc w:val="center"/>
              <w:rPr>
                <w:rFonts w:ascii="Arial" w:hAnsi="Arial" w:cs="Arial"/>
                <w:b/>
                <w:bCs/>
                <w:color w:val="000000"/>
              </w:rPr>
            </w:pPr>
            <w:r w:rsidRPr="00F83DC8">
              <w:rPr>
                <w:rFonts w:ascii="Arial" w:hAnsi="Arial" w:cs="Arial"/>
                <w:b/>
                <w:bCs/>
                <w:color w:val="000000"/>
              </w:rPr>
              <w:t>178,33</w:t>
            </w:r>
          </w:p>
        </w:tc>
        <w:tc>
          <w:tcPr>
            <w:tcW w:w="14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2F046A" w:rsidRPr="00F83DC8" w:rsidRDefault="002F046A" w:rsidP="00242255">
            <w:pPr>
              <w:jc w:val="center"/>
              <w:rPr>
                <w:rFonts w:ascii="Arial" w:hAnsi="Arial" w:cs="Arial"/>
                <w:b/>
                <w:bCs/>
                <w:color w:val="000000"/>
              </w:rPr>
            </w:pPr>
            <w:r w:rsidRPr="00F83DC8">
              <w:rPr>
                <w:rFonts w:ascii="Arial" w:hAnsi="Arial" w:cs="Arial"/>
                <w:b/>
                <w:bCs/>
                <w:color w:val="000000"/>
              </w:rPr>
              <w:t>168,87</w:t>
            </w:r>
          </w:p>
        </w:tc>
        <w:tc>
          <w:tcPr>
            <w:tcW w:w="14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2F046A" w:rsidRPr="00F83DC8" w:rsidRDefault="002F046A" w:rsidP="00242255">
            <w:pPr>
              <w:jc w:val="center"/>
              <w:rPr>
                <w:rFonts w:ascii="Arial" w:hAnsi="Arial" w:cs="Arial"/>
                <w:b/>
                <w:bCs/>
                <w:color w:val="000000"/>
              </w:rPr>
            </w:pPr>
            <w:r w:rsidRPr="00F83DC8">
              <w:rPr>
                <w:rFonts w:ascii="Arial" w:hAnsi="Arial" w:cs="Arial"/>
                <w:b/>
                <w:bCs/>
                <w:color w:val="000000"/>
              </w:rPr>
              <w:t>168,41</w:t>
            </w:r>
          </w:p>
        </w:tc>
        <w:tc>
          <w:tcPr>
            <w:tcW w:w="144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2F046A" w:rsidRPr="00F83DC8" w:rsidRDefault="002F046A" w:rsidP="00242255">
            <w:pPr>
              <w:jc w:val="center"/>
              <w:rPr>
                <w:rFonts w:ascii="Arial" w:hAnsi="Arial" w:cs="Arial"/>
                <w:b/>
                <w:bCs/>
                <w:color w:val="000000"/>
              </w:rPr>
            </w:pPr>
            <w:r w:rsidRPr="00F83DC8">
              <w:rPr>
                <w:rFonts w:ascii="Arial" w:hAnsi="Arial" w:cs="Arial"/>
                <w:b/>
                <w:bCs/>
                <w:color w:val="000000"/>
              </w:rPr>
              <w:t>162,39</w:t>
            </w:r>
          </w:p>
        </w:tc>
      </w:tr>
    </w:tbl>
    <w:p w:rsidR="002F046A" w:rsidRPr="00F83DC8" w:rsidRDefault="002F046A" w:rsidP="002F046A">
      <w:pPr>
        <w:jc w:val="center"/>
        <w:rPr>
          <w:rFonts w:ascii="Arial" w:hAnsi="Arial" w:cs="Arial"/>
          <w:b/>
          <w:bCs/>
          <w:color w:val="000000"/>
        </w:rPr>
      </w:pPr>
    </w:p>
    <w:p w:rsidR="002F046A" w:rsidRPr="00F83DC8" w:rsidRDefault="002F046A" w:rsidP="002F046A">
      <w:pPr>
        <w:spacing w:after="100" w:afterAutospacing="1" w:line="276" w:lineRule="auto"/>
        <w:jc w:val="both"/>
        <w:rPr>
          <w:rFonts w:ascii="Arial" w:hAnsi="Arial" w:cs="Arial"/>
          <w:bCs/>
          <w:iCs/>
          <w:color w:val="000000"/>
        </w:rPr>
      </w:pPr>
      <w:r w:rsidRPr="00F83DC8">
        <w:rPr>
          <w:rFonts w:ascii="Arial" w:hAnsi="Arial" w:cs="Arial"/>
        </w:rPr>
        <w:t xml:space="preserve">Pro doplnění povinný subjekt uvádí, že personální </w:t>
      </w:r>
      <w:r w:rsidRPr="00637F38">
        <w:rPr>
          <w:rFonts w:ascii="Arial" w:hAnsi="Arial" w:cs="Arial"/>
        </w:rPr>
        <w:t xml:space="preserve">aplikaci </w:t>
      </w:r>
      <w:r w:rsidRPr="00F83DC8">
        <w:rPr>
          <w:rFonts w:ascii="Arial" w:hAnsi="Arial" w:cs="Arial"/>
        </w:rPr>
        <w:t xml:space="preserve">využívá </w:t>
      </w:r>
      <w:r w:rsidRPr="00F83DC8">
        <w:rPr>
          <w:rFonts w:ascii="Arial" w:hAnsi="Arial" w:cs="Arial"/>
          <w:bCs/>
          <w:iCs/>
          <w:color w:val="000000"/>
        </w:rPr>
        <w:t xml:space="preserve">až od roku 2018, pro rok 2017 nemá tedy dostupné informace v rámci přesné pracovní náplně jednotlivých zaměstnanců. Tuto informaci by bylo možné získat, ale musela by být získána z jednotlivých personálních složek příslušných zaměstnanců. S ohledem na počet zaměstnanců lze předpokládat, že toto vyhledání by bylo zpoplatněno. </w:t>
      </w:r>
    </w:p>
    <w:p w:rsidR="002F046A" w:rsidRDefault="002F046A" w:rsidP="002F046A">
      <w:pPr>
        <w:spacing w:after="100" w:afterAutospacing="1" w:line="276" w:lineRule="auto"/>
        <w:jc w:val="both"/>
        <w:rPr>
          <w:rFonts w:ascii="Arial" w:hAnsi="Arial" w:cs="Arial"/>
          <w:bCs/>
          <w:iCs/>
          <w:color w:val="000000"/>
        </w:rPr>
      </w:pPr>
      <w:r w:rsidRPr="00F83DC8">
        <w:rPr>
          <w:rFonts w:ascii="Arial" w:hAnsi="Arial" w:cs="Arial"/>
          <w:bCs/>
          <w:iCs/>
          <w:color w:val="000000"/>
        </w:rPr>
        <w:t xml:space="preserve">Ad 3) </w:t>
      </w:r>
      <w:r w:rsidRPr="00637F38">
        <w:rPr>
          <w:rFonts w:ascii="Arial" w:hAnsi="Arial" w:cs="Arial"/>
          <w:bCs/>
          <w:iCs/>
          <w:color w:val="000000"/>
        </w:rPr>
        <w:t>ve smyslu upřesněné žádosti o informace</w:t>
      </w:r>
      <w:r>
        <w:rPr>
          <w:rFonts w:ascii="Arial" w:hAnsi="Arial" w:cs="Arial"/>
          <w:bCs/>
          <w:iCs/>
          <w:color w:val="000000"/>
        </w:rPr>
        <w:t xml:space="preserve"> zaslané OFŘ a též povinnému subjektu poskytujeme průběžné údaje k 1. 1. jednotlivých žádaných let, přičemž je nutno zdůraznit, že tyto údaje nezohledňují počty veškerá odvolání vyřizovaná OFŘ:</w:t>
      </w:r>
    </w:p>
    <w:p w:rsidR="002F046A" w:rsidRPr="00F83DC8" w:rsidRDefault="002F046A" w:rsidP="002F046A">
      <w:pPr>
        <w:pStyle w:val="Odstavecseseznamem"/>
        <w:numPr>
          <w:ilvl w:val="0"/>
          <w:numId w:val="2"/>
        </w:numPr>
        <w:spacing w:after="100" w:afterAutospacing="1" w:line="276" w:lineRule="auto"/>
        <w:jc w:val="both"/>
        <w:rPr>
          <w:rFonts w:ascii="Arial" w:eastAsiaTheme="minorHAnsi" w:hAnsi="Arial" w:cs="Arial"/>
          <w:sz w:val="22"/>
          <w:szCs w:val="22"/>
          <w:lang w:eastAsia="en-US"/>
        </w:rPr>
      </w:pPr>
      <w:r w:rsidRPr="00F83DC8">
        <w:rPr>
          <w:rFonts w:ascii="Arial" w:eastAsiaTheme="minorHAnsi" w:hAnsi="Arial" w:cs="Arial"/>
          <w:sz w:val="22"/>
          <w:szCs w:val="22"/>
          <w:lang w:eastAsia="en-US"/>
        </w:rPr>
        <w:t xml:space="preserve">k 1. 1. 2017 – </w:t>
      </w:r>
      <w:r w:rsidRPr="00637F38">
        <w:rPr>
          <w:rFonts w:ascii="Arial" w:eastAsiaTheme="minorHAnsi" w:hAnsi="Arial" w:cs="Arial"/>
          <w:sz w:val="22"/>
          <w:szCs w:val="22"/>
          <w:lang w:eastAsia="en-US"/>
        </w:rPr>
        <w:t>1614, průměr nel</w:t>
      </w:r>
      <w:r>
        <w:rPr>
          <w:rFonts w:ascii="Arial" w:eastAsiaTheme="minorHAnsi" w:hAnsi="Arial" w:cs="Arial"/>
          <w:sz w:val="22"/>
          <w:szCs w:val="22"/>
          <w:lang w:eastAsia="en-US"/>
        </w:rPr>
        <w:t>ze stanovit z důvodu uvedeného v bodě</w:t>
      </w:r>
      <w:r w:rsidRPr="00637F38">
        <w:rPr>
          <w:rFonts w:ascii="Arial" w:eastAsiaTheme="minorHAnsi" w:hAnsi="Arial" w:cs="Arial"/>
          <w:sz w:val="22"/>
          <w:szCs w:val="22"/>
          <w:lang w:eastAsia="en-US"/>
        </w:rPr>
        <w:t xml:space="preserve"> 2)</w:t>
      </w:r>
    </w:p>
    <w:p w:rsidR="002F046A" w:rsidRPr="00F83DC8" w:rsidRDefault="002F046A" w:rsidP="002F046A">
      <w:pPr>
        <w:pStyle w:val="Odstavecseseznamem"/>
        <w:numPr>
          <w:ilvl w:val="0"/>
          <w:numId w:val="2"/>
        </w:numPr>
        <w:spacing w:after="100" w:afterAutospacing="1" w:line="276" w:lineRule="auto"/>
        <w:jc w:val="both"/>
        <w:rPr>
          <w:rFonts w:ascii="Arial" w:eastAsiaTheme="minorHAnsi" w:hAnsi="Arial" w:cs="Arial"/>
          <w:sz w:val="22"/>
          <w:szCs w:val="22"/>
          <w:lang w:eastAsia="en-US"/>
        </w:rPr>
      </w:pPr>
      <w:r w:rsidRPr="00F83DC8">
        <w:rPr>
          <w:rFonts w:ascii="Arial" w:eastAsiaTheme="minorHAnsi" w:hAnsi="Arial" w:cs="Arial"/>
          <w:sz w:val="22"/>
          <w:szCs w:val="22"/>
          <w:lang w:eastAsia="en-US"/>
        </w:rPr>
        <w:t>k 1. 1. 2018 – 1559/178,33 = 8,74</w:t>
      </w:r>
    </w:p>
    <w:p w:rsidR="002F046A" w:rsidRPr="00F83DC8" w:rsidRDefault="002F046A" w:rsidP="002F046A">
      <w:pPr>
        <w:pStyle w:val="Odstavecseseznamem"/>
        <w:numPr>
          <w:ilvl w:val="0"/>
          <w:numId w:val="2"/>
        </w:numPr>
        <w:spacing w:after="100" w:afterAutospacing="1" w:line="276" w:lineRule="auto"/>
        <w:jc w:val="both"/>
        <w:rPr>
          <w:rFonts w:ascii="Arial" w:eastAsiaTheme="minorHAnsi" w:hAnsi="Arial" w:cs="Arial"/>
          <w:sz w:val="22"/>
          <w:szCs w:val="22"/>
          <w:lang w:eastAsia="en-US"/>
        </w:rPr>
      </w:pPr>
      <w:r w:rsidRPr="00F83DC8">
        <w:rPr>
          <w:rFonts w:ascii="Arial" w:eastAsiaTheme="minorHAnsi" w:hAnsi="Arial" w:cs="Arial"/>
          <w:sz w:val="22"/>
          <w:szCs w:val="22"/>
          <w:lang w:eastAsia="en-US"/>
        </w:rPr>
        <w:t>k 1. 1. 2019 – 1778/168,68 = 10,54</w:t>
      </w:r>
    </w:p>
    <w:p w:rsidR="002F046A" w:rsidRPr="00F83DC8" w:rsidRDefault="002F046A" w:rsidP="002F046A">
      <w:pPr>
        <w:pStyle w:val="Odstavecseseznamem"/>
        <w:numPr>
          <w:ilvl w:val="0"/>
          <w:numId w:val="2"/>
        </w:numPr>
        <w:spacing w:after="100" w:afterAutospacing="1" w:line="276" w:lineRule="auto"/>
        <w:jc w:val="both"/>
        <w:rPr>
          <w:rFonts w:ascii="Arial" w:eastAsiaTheme="minorHAnsi" w:hAnsi="Arial" w:cs="Arial"/>
          <w:sz w:val="22"/>
          <w:szCs w:val="22"/>
          <w:lang w:eastAsia="en-US"/>
        </w:rPr>
      </w:pPr>
      <w:r w:rsidRPr="00F83DC8">
        <w:rPr>
          <w:rFonts w:ascii="Arial" w:eastAsiaTheme="minorHAnsi" w:hAnsi="Arial" w:cs="Arial"/>
          <w:sz w:val="22"/>
          <w:szCs w:val="22"/>
          <w:lang w:eastAsia="en-US"/>
        </w:rPr>
        <w:t>k 1. 1. 2020 – 1932/168,41 = 11, 47</w:t>
      </w:r>
    </w:p>
    <w:p w:rsidR="002F046A" w:rsidRPr="00F83DC8" w:rsidRDefault="002F046A" w:rsidP="002F046A">
      <w:pPr>
        <w:pStyle w:val="Odstavecseseznamem"/>
        <w:numPr>
          <w:ilvl w:val="0"/>
          <w:numId w:val="2"/>
        </w:numPr>
        <w:spacing w:after="100" w:afterAutospacing="1" w:line="276" w:lineRule="auto"/>
        <w:jc w:val="both"/>
        <w:rPr>
          <w:rFonts w:ascii="Arial" w:eastAsiaTheme="minorHAnsi" w:hAnsi="Arial" w:cs="Arial"/>
          <w:sz w:val="22"/>
          <w:szCs w:val="22"/>
          <w:lang w:eastAsia="en-US"/>
        </w:rPr>
      </w:pPr>
      <w:r w:rsidRPr="00F83DC8">
        <w:rPr>
          <w:rFonts w:ascii="Arial" w:eastAsiaTheme="minorHAnsi" w:hAnsi="Arial" w:cs="Arial"/>
          <w:sz w:val="22"/>
          <w:szCs w:val="22"/>
          <w:lang w:eastAsia="en-US"/>
        </w:rPr>
        <w:t>k 1. 1. 2021 – 1743/162, 36 = 10,73</w:t>
      </w:r>
    </w:p>
    <w:p w:rsidR="00B25819" w:rsidRDefault="002F046A" w:rsidP="002F046A">
      <w:pPr>
        <w:spacing w:after="1200" w:line="276" w:lineRule="auto"/>
        <w:jc w:val="both"/>
      </w:pPr>
      <w:r w:rsidRPr="00F83DC8">
        <w:rPr>
          <w:rFonts w:ascii="Arial" w:hAnsi="Arial" w:cs="Arial"/>
        </w:rPr>
        <w:t>Povinný subjekt doplňuje, že uvedená data představují počty daňových odvolacích řízení vedených Odvolacím finančním ředitelstvím, která nebyla k uvedenému datu ukončena, zároveň může dojít u některých k situaci, že jsou „započítána jako neukončená“ vícekrát, pokud by takové řízení bylo vedeno v průběhu více kalendářních let. Upozorňujeme, že údaje ke dni 1. 1. jsou pouze průběžné a nic nevypovídají např. o celkovém počtu ukončených daňových odvolacích řízení v daném kalendářním roce</w:t>
      </w:r>
      <w:r>
        <w:rPr>
          <w:rFonts w:ascii="Arial" w:hAnsi="Arial" w:cs="Arial"/>
        </w:rPr>
        <w:t xml:space="preserve"> nebo o nápadu (resp. postoupených z finančních úřadů) odvolání po 1. 1. příslušného kalendářního roku</w:t>
      </w:r>
      <w:r w:rsidRPr="00F83DC8">
        <w:rPr>
          <w:rFonts w:ascii="Arial" w:hAnsi="Arial" w:cs="Arial"/>
        </w:rPr>
        <w:t>.</w:t>
      </w:r>
      <w:r>
        <w:rPr>
          <w:rFonts w:ascii="Arial" w:hAnsi="Arial" w:cs="Arial"/>
        </w:rPr>
        <w:t xml:space="preserve"> Informace o řádných opravných prostředcích jsou též zveřejněny v Informacích o činnosti Finanční správy ČR, např. v roce 2020 v bodě 2.3. Informace o činnosti Finanční správy ČR naleznete zde: </w:t>
      </w:r>
      <w:hyperlink r:id="rId5" w:history="1">
        <w:r w:rsidRPr="00637F38">
          <w:rPr>
            <w:rStyle w:val="Hypertextovodkaz"/>
            <w:rFonts w:ascii="Arial" w:hAnsi="Arial" w:cs="Arial"/>
          </w:rPr>
          <w:t>https://www.financnisprava.cz/cs/financni-sprava/financni-sprava-cr/vyrocni-zpravy-a-informace-o-cinnosti/2020</w:t>
        </w:r>
      </w:hyperlink>
      <w:r w:rsidRPr="00637F38">
        <w:rPr>
          <w:rFonts w:ascii="Arial" w:hAnsi="Arial" w:cs="Arial"/>
        </w:rPr>
        <w:t xml:space="preserve">. </w:t>
      </w:r>
      <w:bookmarkStart w:id="0" w:name="_GoBack"/>
      <w:bookmarkEnd w:id="0"/>
    </w:p>
    <w:sectPr w:rsidR="00B25819" w:rsidSect="002A72A1">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B3B"/>
    <w:multiLevelType w:val="hybridMultilevel"/>
    <w:tmpl w:val="9E8AC00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A084E"/>
    <w:multiLevelType w:val="hybridMultilevel"/>
    <w:tmpl w:val="7CAC7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81"/>
    <w:rsid w:val="002F046A"/>
    <w:rsid w:val="00B25819"/>
    <w:rsid w:val="00C20B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2B8C7-AC71-4DAF-B04D-D1B58023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0B8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20B81"/>
    <w:pPr>
      <w:autoSpaceDE w:val="0"/>
      <w:autoSpaceDN w:val="0"/>
      <w:adjustRightInd w:val="0"/>
      <w:spacing w:after="0" w:line="240" w:lineRule="auto"/>
    </w:pPr>
    <w:rPr>
      <w:rFonts w:ascii="Tahoma" w:eastAsia="Calibri" w:hAnsi="Tahoma" w:cs="Tahoma"/>
      <w:color w:val="000000"/>
      <w:sz w:val="24"/>
      <w:szCs w:val="24"/>
      <w:lang w:eastAsia="cs-CZ"/>
    </w:rPr>
  </w:style>
  <w:style w:type="paragraph" w:styleId="Odstavecseseznamem">
    <w:name w:val="List Paragraph"/>
    <w:basedOn w:val="Normln"/>
    <w:uiPriority w:val="34"/>
    <w:qFormat/>
    <w:rsid w:val="002F046A"/>
    <w:pPr>
      <w:spacing w:after="0" w:line="240" w:lineRule="auto"/>
      <w:ind w:left="720"/>
      <w:contextualSpacing/>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F0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nancnisprava.cz/cs/financni-sprava/financni-sprava-cr/vyrocni-zpravy-a-informace-o-cinnosti/2020"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658</Words>
  <Characters>3884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Finanční správa</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1</cp:revision>
  <dcterms:created xsi:type="dcterms:W3CDTF">2022-06-14T10:07:00Z</dcterms:created>
  <dcterms:modified xsi:type="dcterms:W3CDTF">2022-06-14T11:02:00Z</dcterms:modified>
</cp:coreProperties>
</file>