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C1" w:rsidRDefault="00CA1BC1" w:rsidP="00CA1BC1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</w:t>
      </w:r>
      <w:r w:rsidR="008B7CCE">
        <w:rPr>
          <w:rFonts w:ascii="Arial" w:hAnsi="Arial" w:cs="Arial"/>
          <w:b/>
          <w:sz w:val="24"/>
          <w:szCs w:val="24"/>
          <w:u w:val="single"/>
        </w:rPr>
        <w:t>ném přístupu k informacím 1/2022</w:t>
      </w:r>
    </w:p>
    <w:p w:rsidR="00CA1BC1" w:rsidRDefault="00CA1BC1" w:rsidP="00CA1BC1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8B7CCE" w:rsidRPr="008B7CCE" w:rsidRDefault="008B7CCE" w:rsidP="008B7CCE">
      <w:pPr>
        <w:jc w:val="both"/>
        <w:rPr>
          <w:rFonts w:ascii="Arial" w:hAnsi="Arial" w:cs="Arial"/>
        </w:rPr>
      </w:pPr>
      <w:r w:rsidRPr="008B7CCE">
        <w:rPr>
          <w:rFonts w:ascii="Arial" w:hAnsi="Arial" w:cs="Arial"/>
        </w:rPr>
        <w:t>Jaký konkrétní technický problém ve formuláři je, že jej Fi</w:t>
      </w:r>
      <w:r>
        <w:rPr>
          <w:rFonts w:ascii="Arial" w:hAnsi="Arial" w:cs="Arial"/>
        </w:rPr>
        <w:t>nanční správa znepřístupnila na </w:t>
      </w:r>
      <w:r w:rsidRPr="008B7CCE">
        <w:rPr>
          <w:rFonts w:ascii="Arial" w:hAnsi="Arial" w:cs="Arial"/>
        </w:rPr>
        <w:t>téměř dva měsíce?</w:t>
      </w:r>
    </w:p>
    <w:p w:rsidR="008B7CCE" w:rsidRPr="008B7CCE" w:rsidRDefault="008B7CCE" w:rsidP="008B7CCE">
      <w:pPr>
        <w:jc w:val="both"/>
        <w:rPr>
          <w:rFonts w:ascii="Arial" w:hAnsi="Arial" w:cs="Arial"/>
        </w:rPr>
      </w:pPr>
      <w:r w:rsidRPr="008B7CCE">
        <w:rPr>
          <w:rFonts w:ascii="Arial" w:hAnsi="Arial" w:cs="Arial"/>
        </w:rPr>
        <w:t>Jde skutečně pouze o chybu v předvyplňování, jak Finanční správa uvádí na webu, nebo jde i o jiné problémy?</w:t>
      </w:r>
    </w:p>
    <w:p w:rsidR="008B7CCE" w:rsidRPr="008B7CCE" w:rsidRDefault="008B7CCE" w:rsidP="008B7CCE">
      <w:pPr>
        <w:jc w:val="both"/>
        <w:rPr>
          <w:rFonts w:ascii="Arial" w:hAnsi="Arial" w:cs="Arial"/>
        </w:rPr>
      </w:pPr>
      <w:r w:rsidRPr="008B7CCE">
        <w:rPr>
          <w:rFonts w:ascii="Arial" w:hAnsi="Arial" w:cs="Arial"/>
        </w:rPr>
        <w:t>Jaké jsou konkrétní příčiny této chyby/těchto chyb?</w:t>
      </w:r>
    </w:p>
    <w:p w:rsidR="008B7CCE" w:rsidRPr="008B7CCE" w:rsidRDefault="008B7CCE" w:rsidP="008B7CCE">
      <w:pPr>
        <w:jc w:val="both"/>
        <w:rPr>
          <w:rFonts w:ascii="Arial" w:hAnsi="Arial" w:cs="Arial"/>
        </w:rPr>
      </w:pPr>
      <w:r w:rsidRPr="008B7CCE">
        <w:rPr>
          <w:rFonts w:ascii="Arial" w:hAnsi="Arial" w:cs="Arial"/>
        </w:rPr>
        <w:t>Proč má oprava jednoho formuláře trvat tak dlouho (pod</w:t>
      </w:r>
      <w:r>
        <w:rPr>
          <w:rFonts w:ascii="Arial" w:hAnsi="Arial" w:cs="Arial"/>
        </w:rPr>
        <w:t>le informací Finanční správy na </w:t>
      </w:r>
      <w:r w:rsidRPr="008B7CCE">
        <w:rPr>
          <w:rFonts w:ascii="Arial" w:hAnsi="Arial" w:cs="Arial"/>
        </w:rPr>
        <w:t>Twitteru přinejmenším do druhé poloviny února)?</w:t>
      </w:r>
    </w:p>
    <w:p w:rsidR="008B7CCE" w:rsidRPr="008B7CCE" w:rsidRDefault="008B7CCE" w:rsidP="008B7CCE">
      <w:pPr>
        <w:jc w:val="both"/>
        <w:rPr>
          <w:rFonts w:ascii="Arial" w:hAnsi="Arial" w:cs="Arial"/>
        </w:rPr>
      </w:pPr>
      <w:r w:rsidRPr="008B7CCE">
        <w:rPr>
          <w:rFonts w:ascii="Arial" w:hAnsi="Arial" w:cs="Arial"/>
        </w:rPr>
        <w:t>Kdo pro Finanční správu opravu provádí a kolik bude oprava stát?</w:t>
      </w:r>
    </w:p>
    <w:p w:rsidR="008B7CCE" w:rsidRPr="008B7CCE" w:rsidRDefault="008B7CCE" w:rsidP="008B7CCE">
      <w:pPr>
        <w:jc w:val="both"/>
        <w:rPr>
          <w:rFonts w:ascii="Arial" w:hAnsi="Arial" w:cs="Arial"/>
        </w:rPr>
      </w:pPr>
      <w:r w:rsidRPr="008B7CCE">
        <w:rPr>
          <w:rFonts w:ascii="Arial" w:hAnsi="Arial" w:cs="Arial"/>
        </w:rPr>
        <w:t>Účtuje případný dodavatel opravu na základě času, který opravě věnuje (např. prostřednictvím tzv. mandays)? Nebo je úhrada založena na jiném modelu?</w:t>
      </w:r>
    </w:p>
    <w:p w:rsidR="00CA1BC1" w:rsidRDefault="00CA1BC1" w:rsidP="00CA1BC1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8B7CCE" w:rsidRPr="00980306" w:rsidRDefault="008B7CCE" w:rsidP="008B7CCE">
      <w:pPr>
        <w:spacing w:after="100" w:afterAutospacing="1" w:line="276" w:lineRule="auto"/>
        <w:jc w:val="both"/>
        <w:rPr>
          <w:rFonts w:ascii="Arial" w:hAnsi="Arial" w:cs="Arial"/>
        </w:rPr>
      </w:pPr>
      <w:r w:rsidRPr="00980306">
        <w:rPr>
          <w:rFonts w:ascii="Arial" w:hAnsi="Arial" w:cs="Arial"/>
        </w:rPr>
        <w:t xml:space="preserve">Jedná se o nezbytnou aktualizaci </w:t>
      </w:r>
      <w:r>
        <w:rPr>
          <w:rFonts w:ascii="Arial" w:hAnsi="Arial" w:cs="Arial"/>
        </w:rPr>
        <w:t xml:space="preserve">příslušného </w:t>
      </w:r>
      <w:r w:rsidRPr="00980306">
        <w:rPr>
          <w:rFonts w:ascii="Arial" w:hAnsi="Arial" w:cs="Arial"/>
        </w:rPr>
        <w:t xml:space="preserve">formuláře. Na začátku loňského roku </w:t>
      </w:r>
      <w:r>
        <w:rPr>
          <w:rFonts w:ascii="Arial" w:hAnsi="Arial" w:cs="Arial"/>
        </w:rPr>
        <w:t xml:space="preserve">byla přijata </w:t>
      </w:r>
      <w:r w:rsidRPr="00980306">
        <w:rPr>
          <w:rFonts w:ascii="Arial" w:hAnsi="Arial" w:cs="Arial"/>
        </w:rPr>
        <w:t>řad</w:t>
      </w:r>
      <w:r>
        <w:rPr>
          <w:rFonts w:ascii="Arial" w:hAnsi="Arial" w:cs="Arial"/>
        </w:rPr>
        <w:t>a</w:t>
      </w:r>
      <w:r w:rsidRPr="00980306">
        <w:rPr>
          <w:rFonts w:ascii="Arial" w:hAnsi="Arial" w:cs="Arial"/>
        </w:rPr>
        <w:t xml:space="preserve"> legislativních změn, které mají velký dopad také na</w:t>
      </w:r>
      <w:r>
        <w:rPr>
          <w:rFonts w:ascii="Arial" w:hAnsi="Arial" w:cs="Arial"/>
        </w:rPr>
        <w:t xml:space="preserve"> Automatizovaný</w:t>
      </w:r>
      <w:r w:rsidRPr="00980306">
        <w:rPr>
          <w:rFonts w:ascii="Arial" w:hAnsi="Arial" w:cs="Arial"/>
        </w:rPr>
        <w:t xml:space="preserve"> daňový informační systém. Všechny tyto rozsáhlé </w:t>
      </w:r>
      <w:r>
        <w:rPr>
          <w:rFonts w:ascii="Arial" w:hAnsi="Arial" w:cs="Arial"/>
        </w:rPr>
        <w:t xml:space="preserve">legislativní </w:t>
      </w:r>
      <w:r w:rsidRPr="00980306">
        <w:rPr>
          <w:rFonts w:ascii="Arial" w:hAnsi="Arial" w:cs="Arial"/>
        </w:rPr>
        <w:t xml:space="preserve">změny bylo nutné </w:t>
      </w:r>
      <w:r>
        <w:rPr>
          <w:rFonts w:ascii="Arial" w:hAnsi="Arial" w:cs="Arial"/>
        </w:rPr>
        <w:t xml:space="preserve">do tohoto systému </w:t>
      </w:r>
      <w:r w:rsidRPr="00980306">
        <w:rPr>
          <w:rFonts w:ascii="Arial" w:hAnsi="Arial" w:cs="Arial"/>
        </w:rPr>
        <w:t>zapracovat, aby bylo možné</w:t>
      </w:r>
      <w:r>
        <w:rPr>
          <w:rFonts w:ascii="Arial" w:hAnsi="Arial" w:cs="Arial"/>
        </w:rPr>
        <w:t xml:space="preserve"> mimo jiné</w:t>
      </w:r>
      <w:r w:rsidRPr="0098030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Pr="00980306">
        <w:rPr>
          <w:rFonts w:ascii="Arial" w:hAnsi="Arial" w:cs="Arial"/>
        </w:rPr>
        <w:t>nadále podávat a zpracovávat daňová přiznání elektronicky.</w:t>
      </w:r>
      <w:r>
        <w:rPr>
          <w:rFonts w:ascii="Arial" w:hAnsi="Arial" w:cs="Arial"/>
        </w:rPr>
        <w:t xml:space="preserve"> </w:t>
      </w:r>
    </w:p>
    <w:p w:rsidR="008B7CCE" w:rsidRPr="00980306" w:rsidRDefault="008B7CCE" w:rsidP="008B7CCE">
      <w:pPr>
        <w:shd w:val="clear" w:color="auto" w:fill="FFFFFF"/>
        <w:spacing w:after="100" w:afterAutospacing="1" w:line="276" w:lineRule="auto"/>
        <w:jc w:val="both"/>
        <w:rPr>
          <w:rFonts w:ascii="Arial" w:hAnsi="Arial" w:cs="Arial"/>
        </w:rPr>
      </w:pPr>
      <w:r w:rsidRPr="00980306">
        <w:rPr>
          <w:rFonts w:ascii="Arial" w:hAnsi="Arial" w:cs="Arial"/>
        </w:rPr>
        <w:t>Finanční správa se stejně</w:t>
      </w:r>
      <w:r>
        <w:rPr>
          <w:rFonts w:ascii="Arial" w:hAnsi="Arial" w:cs="Arial"/>
        </w:rPr>
        <w:t>,</w:t>
      </w:r>
      <w:r w:rsidRPr="00980306">
        <w:rPr>
          <w:rFonts w:ascii="Arial" w:hAnsi="Arial" w:cs="Arial"/>
        </w:rPr>
        <w:t xml:space="preserve"> jako její dodavatelé</w:t>
      </w:r>
      <w:r>
        <w:rPr>
          <w:rFonts w:ascii="Arial" w:hAnsi="Arial" w:cs="Arial"/>
        </w:rPr>
        <w:t>,</w:t>
      </w:r>
      <w:r w:rsidRPr="00980306">
        <w:rPr>
          <w:rFonts w:ascii="Arial" w:hAnsi="Arial" w:cs="Arial"/>
        </w:rPr>
        <w:t xml:space="preserve"> ocitla v roce 2021 ve ztížené situaci vlivem omezení personálních kapacit klíčových oblastí z důvodu onemocnění COVID-19, což mělo dopad i </w:t>
      </w:r>
      <w:r>
        <w:rPr>
          <w:rFonts w:ascii="Arial" w:hAnsi="Arial" w:cs="Arial"/>
        </w:rPr>
        <w:t>na</w:t>
      </w:r>
      <w:r w:rsidRPr="00980306">
        <w:rPr>
          <w:rFonts w:ascii="Arial" w:hAnsi="Arial" w:cs="Arial"/>
        </w:rPr>
        <w:t xml:space="preserve"> dob</w:t>
      </w:r>
      <w:r>
        <w:rPr>
          <w:rFonts w:ascii="Arial" w:hAnsi="Arial" w:cs="Arial"/>
        </w:rPr>
        <w:t>u</w:t>
      </w:r>
      <w:r w:rsidRPr="00980306">
        <w:rPr>
          <w:rFonts w:ascii="Arial" w:hAnsi="Arial" w:cs="Arial"/>
        </w:rPr>
        <w:t xml:space="preserve"> přípravy analytických zadání potřebných úprav daňového informačního systému, které jsou podkladem pro uzavření prováděcích smluv s dodavatelem. </w:t>
      </w:r>
      <w:r>
        <w:rPr>
          <w:rFonts w:ascii="Arial" w:hAnsi="Arial" w:cs="Arial"/>
        </w:rPr>
        <w:t xml:space="preserve">Nešlo přitom jen o </w:t>
      </w:r>
      <w:r w:rsidRPr="00A76FA9">
        <w:rPr>
          <w:rFonts w:ascii="Arial" w:hAnsi="Arial" w:cs="Arial"/>
        </w:rPr>
        <w:t>aspekty předvyplňování</w:t>
      </w:r>
      <w:r>
        <w:rPr>
          <w:rFonts w:ascii="Arial" w:hAnsi="Arial" w:cs="Arial"/>
        </w:rPr>
        <w:t>,</w:t>
      </w:r>
      <w:r w:rsidRPr="00A76FA9">
        <w:rPr>
          <w:rFonts w:ascii="Arial" w:hAnsi="Arial" w:cs="Arial"/>
        </w:rPr>
        <w:t xml:space="preserve"> ale o celkové změny ve formulářích, a to nejen u </w:t>
      </w:r>
      <w:r>
        <w:rPr>
          <w:rFonts w:ascii="Arial" w:hAnsi="Arial" w:cs="Arial"/>
        </w:rPr>
        <w:t>daní z příjmů fyzických osob.</w:t>
      </w:r>
    </w:p>
    <w:p w:rsidR="008B7CCE" w:rsidRPr="00980306" w:rsidRDefault="008B7CCE" w:rsidP="008B7CCE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Přijaté legislativní </w:t>
      </w:r>
      <w:r w:rsidRPr="00980306">
        <w:rPr>
          <w:rFonts w:ascii="Arial" w:hAnsi="Arial" w:cs="Arial"/>
        </w:rPr>
        <w:t>změn</w:t>
      </w:r>
      <w:r>
        <w:rPr>
          <w:rFonts w:ascii="Arial" w:hAnsi="Arial" w:cs="Arial"/>
        </w:rPr>
        <w:t>y</w:t>
      </w:r>
      <w:r w:rsidRPr="00980306">
        <w:rPr>
          <w:rFonts w:ascii="Arial" w:hAnsi="Arial" w:cs="Arial"/>
        </w:rPr>
        <w:t xml:space="preserve"> mají velký dopad na</w:t>
      </w:r>
      <w:r>
        <w:rPr>
          <w:rFonts w:ascii="Arial" w:hAnsi="Arial" w:cs="Arial"/>
        </w:rPr>
        <w:t> </w:t>
      </w:r>
      <w:r w:rsidRPr="00980306">
        <w:rPr>
          <w:rFonts w:ascii="Arial" w:hAnsi="Arial" w:cs="Arial"/>
        </w:rPr>
        <w:t>český daňový systém</w:t>
      </w:r>
      <w:r>
        <w:rPr>
          <w:rFonts w:ascii="Arial" w:hAnsi="Arial" w:cs="Arial"/>
        </w:rPr>
        <w:t xml:space="preserve"> a tím logicky i na všechny technické i personální prvky vstupující do procesu jeho obsluhy</w:t>
      </w:r>
      <w:r w:rsidRPr="00980306">
        <w:rPr>
          <w:rFonts w:ascii="Arial" w:hAnsi="Arial" w:cs="Arial"/>
        </w:rPr>
        <w:t xml:space="preserve">. Ke všem plánovaným změnám </w:t>
      </w:r>
      <w:r>
        <w:rPr>
          <w:rFonts w:ascii="Arial" w:hAnsi="Arial" w:cs="Arial"/>
        </w:rPr>
        <w:t>byly</w:t>
      </w:r>
      <w:r w:rsidRPr="00980306">
        <w:rPr>
          <w:rFonts w:ascii="Arial" w:hAnsi="Arial" w:cs="Arial"/>
        </w:rPr>
        <w:t xml:space="preserve"> proto přiřa</w:t>
      </w:r>
      <w:r>
        <w:rPr>
          <w:rFonts w:ascii="Arial" w:hAnsi="Arial" w:cs="Arial"/>
        </w:rPr>
        <w:t>zeny</w:t>
      </w:r>
      <w:r w:rsidRPr="00980306">
        <w:rPr>
          <w:rFonts w:ascii="Arial" w:hAnsi="Arial" w:cs="Arial"/>
        </w:rPr>
        <w:t xml:space="preserve"> priority a </w:t>
      </w:r>
      <w:r>
        <w:rPr>
          <w:rFonts w:ascii="Arial" w:hAnsi="Arial" w:cs="Arial"/>
        </w:rPr>
        <w:t xml:space="preserve">tyto změny byly a </w:t>
      </w:r>
      <w:r w:rsidRPr="00980306">
        <w:rPr>
          <w:rFonts w:ascii="Arial" w:hAnsi="Arial" w:cs="Arial"/>
        </w:rPr>
        <w:t>postupně</w:t>
      </w:r>
      <w:r>
        <w:rPr>
          <w:rFonts w:ascii="Arial" w:hAnsi="Arial" w:cs="Arial"/>
        </w:rPr>
        <w:t xml:space="preserve"> jsou </w:t>
      </w:r>
      <w:r w:rsidRPr="00980306">
        <w:rPr>
          <w:rFonts w:ascii="Arial" w:hAnsi="Arial" w:cs="Arial"/>
        </w:rPr>
        <w:t>implementov</w:t>
      </w:r>
      <w:r>
        <w:rPr>
          <w:rFonts w:ascii="Arial" w:hAnsi="Arial" w:cs="Arial"/>
        </w:rPr>
        <w:t>ány</w:t>
      </w:r>
      <w:r>
        <w:rPr>
          <w:rFonts w:ascii="Arial" w:hAnsi="Arial" w:cs="Arial"/>
        </w:rPr>
        <w:t xml:space="preserve"> do </w:t>
      </w:r>
      <w:r w:rsidRPr="00980306">
        <w:rPr>
          <w:rFonts w:ascii="Arial" w:hAnsi="Arial" w:cs="Arial"/>
        </w:rPr>
        <w:t xml:space="preserve">daňového informačního systému. </w:t>
      </w:r>
      <w:r>
        <w:rPr>
          <w:rFonts w:ascii="Arial" w:hAnsi="Arial" w:cs="Arial"/>
        </w:rPr>
        <w:t>Daňové přiznání</w:t>
      </w:r>
      <w:r w:rsidRPr="00EC2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 dani z příjmů fyzických osob totiž </w:t>
      </w:r>
      <w:r w:rsidRPr="00EC2E43">
        <w:rPr>
          <w:rFonts w:ascii="Arial" w:hAnsi="Arial" w:cs="Arial"/>
        </w:rPr>
        <w:t>není jediným upravovaným formulářem, legislativními změnami byly dotčeny i jiné daně</w:t>
      </w:r>
      <w:r>
        <w:rPr>
          <w:rFonts w:ascii="Arial" w:hAnsi="Arial" w:cs="Arial"/>
        </w:rPr>
        <w:t xml:space="preserve"> a příslušné formuláře.</w:t>
      </w:r>
      <w:r w:rsidRPr="00EC2E43">
        <w:rPr>
          <w:rFonts w:ascii="Arial" w:hAnsi="Arial" w:cs="Arial"/>
        </w:rPr>
        <w:t xml:space="preserve"> </w:t>
      </w:r>
      <w:r w:rsidRPr="00980306">
        <w:rPr>
          <w:rFonts w:ascii="Arial" w:hAnsi="Arial" w:cs="Arial"/>
        </w:rPr>
        <w:t>V tuto chvíli je již bez problémů možné podat elektronicky daňové přiznání k dani silniční, dani z nemovitých věcí nebo dani z příjmů právnických osob.</w:t>
      </w:r>
    </w:p>
    <w:p w:rsidR="008B7CCE" w:rsidRPr="00980306" w:rsidRDefault="008B7CCE" w:rsidP="008B7CCE">
      <w:pPr>
        <w:spacing w:after="100" w:afterAutospacing="1" w:line="276" w:lineRule="auto"/>
        <w:jc w:val="both"/>
        <w:rPr>
          <w:rFonts w:ascii="Arial" w:hAnsi="Arial" w:cs="Arial"/>
        </w:rPr>
      </w:pPr>
      <w:r w:rsidRPr="00980306">
        <w:rPr>
          <w:rFonts w:ascii="Arial" w:hAnsi="Arial" w:cs="Arial"/>
        </w:rPr>
        <w:t xml:space="preserve">Změny v elektronickém formuláři pro daňové přiznání k dani z příjmu fyzických osob jsme </w:t>
      </w:r>
      <w:r>
        <w:rPr>
          <w:rFonts w:ascii="Arial" w:hAnsi="Arial" w:cs="Arial"/>
        </w:rPr>
        <w:t xml:space="preserve">(při vyrovnávání se s kapacitními deficity zmíněnými výše) </w:t>
      </w:r>
      <w:r w:rsidRPr="00980306">
        <w:rPr>
          <w:rFonts w:ascii="Arial" w:hAnsi="Arial" w:cs="Arial"/>
        </w:rPr>
        <w:t xml:space="preserve">zařadili </w:t>
      </w:r>
      <w:r>
        <w:rPr>
          <w:rFonts w:ascii="Arial" w:hAnsi="Arial" w:cs="Arial"/>
        </w:rPr>
        <w:t xml:space="preserve">až </w:t>
      </w:r>
      <w:r w:rsidRPr="00980306">
        <w:rPr>
          <w:rFonts w:ascii="Arial" w:hAnsi="Arial" w:cs="Arial"/>
        </w:rPr>
        <w:t xml:space="preserve">do druhé fáze změn, protože elektronicky lze </w:t>
      </w:r>
      <w:r>
        <w:rPr>
          <w:rFonts w:ascii="Arial" w:hAnsi="Arial" w:cs="Arial"/>
        </w:rPr>
        <w:t>toto daňové přiznání podávat až </w:t>
      </w:r>
      <w:r w:rsidRPr="00980306">
        <w:rPr>
          <w:rFonts w:ascii="Arial" w:hAnsi="Arial" w:cs="Arial"/>
        </w:rPr>
        <w:t>do</w:t>
      </w:r>
      <w:r>
        <w:rPr>
          <w:rFonts w:ascii="Arial" w:hAnsi="Arial" w:cs="Arial"/>
        </w:rPr>
        <w:t> </w:t>
      </w:r>
      <w:r w:rsidRPr="00980306">
        <w:rPr>
          <w:rFonts w:ascii="Arial" w:hAnsi="Arial" w:cs="Arial"/>
        </w:rPr>
        <w:t>začátku května</w:t>
      </w:r>
      <w:r>
        <w:rPr>
          <w:rFonts w:ascii="Arial" w:hAnsi="Arial" w:cs="Arial"/>
        </w:rPr>
        <w:t xml:space="preserve"> a zároveň (dle našich dosavadních zkušeností) naprostá většina osob podává toto přiznání až v průběhu března či </w:t>
      </w:r>
      <w:bookmarkStart w:id="0" w:name="_GoBack"/>
      <w:bookmarkEnd w:id="0"/>
      <w:r>
        <w:rPr>
          <w:rFonts w:ascii="Arial" w:hAnsi="Arial" w:cs="Arial"/>
        </w:rPr>
        <w:t>později</w:t>
      </w:r>
      <w:r w:rsidRPr="00980306">
        <w:rPr>
          <w:rFonts w:ascii="Arial" w:hAnsi="Arial" w:cs="Arial"/>
        </w:rPr>
        <w:t xml:space="preserve">. Dle nových legislativních podmínek bude formulář připraven </w:t>
      </w:r>
      <w:r>
        <w:rPr>
          <w:rFonts w:ascii="Arial" w:hAnsi="Arial" w:cs="Arial"/>
        </w:rPr>
        <w:t>v průběhu měsíce</w:t>
      </w:r>
      <w:r w:rsidRPr="00980306">
        <w:rPr>
          <w:rFonts w:ascii="Arial" w:hAnsi="Arial" w:cs="Arial"/>
        </w:rPr>
        <w:t xml:space="preserve"> února.</w:t>
      </w:r>
    </w:p>
    <w:p w:rsidR="008B7CCE" w:rsidRPr="00980306" w:rsidRDefault="008B7CCE" w:rsidP="008B7CCE">
      <w:pPr>
        <w:spacing w:after="100" w:afterAutospacing="1" w:line="276" w:lineRule="auto"/>
        <w:jc w:val="both"/>
        <w:rPr>
          <w:rFonts w:ascii="Arial" w:hAnsi="Arial" w:cs="Arial"/>
        </w:rPr>
      </w:pPr>
      <w:r w:rsidRPr="00980306">
        <w:rPr>
          <w:rFonts w:ascii="Arial" w:hAnsi="Arial" w:cs="Arial"/>
        </w:rPr>
        <w:t xml:space="preserve">Na základě zadávacího řízení na zajištění podpory a vývoje daňového informačního systému </w:t>
      </w:r>
      <w:r>
        <w:rPr>
          <w:rFonts w:ascii="Arial" w:hAnsi="Arial" w:cs="Arial"/>
        </w:rPr>
        <w:t>provádí příslušné dodavatelské práce</w:t>
      </w:r>
      <w:r w:rsidRPr="00980306">
        <w:rPr>
          <w:rFonts w:ascii="Arial" w:hAnsi="Arial" w:cs="Arial"/>
        </w:rPr>
        <w:t xml:space="preserve"> společnost O2 IT Service</w:t>
      </w:r>
      <w:r>
        <w:rPr>
          <w:rFonts w:ascii="Arial" w:hAnsi="Arial" w:cs="Arial"/>
        </w:rPr>
        <w:t xml:space="preserve">s s.r.o. (viz tisková zpráva z roku </w:t>
      </w:r>
      <w:r w:rsidRPr="00980306">
        <w:rPr>
          <w:rFonts w:ascii="Arial" w:hAnsi="Arial" w:cs="Arial"/>
        </w:rPr>
        <w:t xml:space="preserve">2019: </w:t>
      </w:r>
      <w:hyperlink r:id="rId5" w:history="1">
        <w:r>
          <w:rPr>
            <w:rStyle w:val="Hypertextovodkaz"/>
            <w:rFonts w:ascii="Arial" w:hAnsi="Arial" w:cs="Arial"/>
            <w:color w:val="2E74B5" w:themeColor="accent1" w:themeShade="BF"/>
          </w:rPr>
          <w:t>https://www.financnisprava.cz/cs/financni-sprava/media-a-verejnost/tiskove-</w:t>
        </w:r>
        <w:r>
          <w:rPr>
            <w:rStyle w:val="Hypertextovodkaz"/>
            <w:rFonts w:ascii="Arial" w:hAnsi="Arial" w:cs="Arial"/>
            <w:color w:val="2E74B5" w:themeColor="accent1" w:themeShade="BF"/>
          </w:rPr>
          <w:lastRenderedPageBreak/>
          <w:t>zpravy-gfr/tiskove-zpravy-2019/vitezem-verejne-zakazky-na-podporu-adis-se-stala-spolecnost-o2-it-services-s-r-o</w:t>
        </w:r>
      </w:hyperlink>
      <w:r>
        <w:rPr>
          <w:rFonts w:ascii="Arial" w:hAnsi="Arial" w:cs="Arial"/>
        </w:rPr>
        <w:t>).</w:t>
      </w:r>
      <w:r w:rsidRPr="00980306">
        <w:rPr>
          <w:rFonts w:ascii="Arial" w:hAnsi="Arial" w:cs="Arial"/>
        </w:rPr>
        <w:t xml:space="preserve"> Dílčí náklady na jednotlivé změny </w:t>
      </w:r>
      <w:r>
        <w:rPr>
          <w:rFonts w:ascii="Arial" w:hAnsi="Arial" w:cs="Arial"/>
        </w:rPr>
        <w:t xml:space="preserve">prozatím </w:t>
      </w:r>
      <w:r w:rsidRPr="00980306">
        <w:rPr>
          <w:rFonts w:ascii="Arial" w:hAnsi="Arial" w:cs="Arial"/>
        </w:rPr>
        <w:t>nelze</w:t>
      </w:r>
      <w:r>
        <w:rPr>
          <w:rFonts w:ascii="Arial" w:hAnsi="Arial" w:cs="Arial"/>
        </w:rPr>
        <w:t xml:space="preserve"> </w:t>
      </w:r>
      <w:r w:rsidRPr="00980306">
        <w:rPr>
          <w:rFonts w:ascii="Arial" w:hAnsi="Arial" w:cs="Arial"/>
        </w:rPr>
        <w:t>vyčíslit.</w:t>
      </w:r>
    </w:p>
    <w:p w:rsidR="008B7CCE" w:rsidRPr="00980306" w:rsidRDefault="008B7CCE" w:rsidP="008B7CCE">
      <w:pPr>
        <w:spacing w:after="100" w:afterAutospacing="1" w:line="276" w:lineRule="auto"/>
        <w:jc w:val="both"/>
        <w:rPr>
          <w:rFonts w:ascii="Arial" w:hAnsi="Arial" w:cs="Arial"/>
        </w:rPr>
      </w:pPr>
      <w:r w:rsidRPr="00980306">
        <w:rPr>
          <w:rFonts w:ascii="Arial" w:hAnsi="Arial" w:cs="Arial"/>
        </w:rPr>
        <w:t>Úpravy daňového informačního systému související s legislativními změnami jsou obsaženy zejména v</w:t>
      </w:r>
      <w:r>
        <w:rPr>
          <w:rFonts w:ascii="Arial" w:hAnsi="Arial" w:cs="Arial"/>
        </w:rPr>
        <w:t> následujících smlouvách</w:t>
      </w:r>
      <w:r w:rsidRPr="00980306">
        <w:rPr>
          <w:rFonts w:ascii="Arial" w:hAnsi="Arial" w:cs="Arial"/>
        </w:rPr>
        <w:t xml:space="preserve">: </w:t>
      </w:r>
    </w:p>
    <w:p w:rsidR="008B7CCE" w:rsidRPr="008B7CCE" w:rsidRDefault="008B7CCE" w:rsidP="008B7CCE">
      <w:pPr>
        <w:pStyle w:val="Odstavecseseznamem"/>
        <w:numPr>
          <w:ilvl w:val="0"/>
          <w:numId w:val="1"/>
        </w:numPr>
        <w:spacing w:after="1200" w:line="276" w:lineRule="auto"/>
        <w:jc w:val="both"/>
        <w:rPr>
          <w:rStyle w:val="Hypertextovodkaz"/>
          <w:rFonts w:ascii="Arial" w:hAnsi="Arial" w:cs="Arial"/>
          <w:bCs/>
          <w:color w:val="auto"/>
          <w:sz w:val="22"/>
          <w:szCs w:val="22"/>
          <w:u w:val="none"/>
        </w:rPr>
      </w:pPr>
      <w:hyperlink r:id="rId6" w:history="1">
        <w:r w:rsidRPr="008C4AD1">
          <w:rPr>
            <w:rStyle w:val="Hypertextovodkaz"/>
            <w:rFonts w:ascii="Arial" w:hAnsi="Arial" w:cs="Arial"/>
            <w:sz w:val="22"/>
            <w:szCs w:val="22"/>
          </w:rPr>
          <w:t>https://smlouvy.gov.cz/smlouva/18404911</w:t>
        </w:r>
      </w:hyperlink>
    </w:p>
    <w:p w:rsidR="008B7CCE" w:rsidRPr="00980306" w:rsidRDefault="008B7CCE" w:rsidP="008B7CCE">
      <w:pPr>
        <w:pStyle w:val="Odstavecseseznamem"/>
        <w:numPr>
          <w:ilvl w:val="0"/>
          <w:numId w:val="1"/>
        </w:numPr>
        <w:spacing w:after="12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80306">
        <w:rPr>
          <w:rFonts w:ascii="Arial" w:hAnsi="Arial" w:cs="Arial"/>
          <w:sz w:val="22"/>
          <w:szCs w:val="22"/>
        </w:rPr>
        <w:t xml:space="preserve">a </w:t>
      </w:r>
      <w:hyperlink r:id="rId7" w:history="1">
        <w:r w:rsidRPr="006C75B2">
          <w:rPr>
            <w:rStyle w:val="Hypertextovodkaz"/>
            <w:rFonts w:ascii="Arial" w:hAnsi="Arial" w:cs="Arial"/>
            <w:sz w:val="22"/>
            <w:szCs w:val="22"/>
          </w:rPr>
          <w:t>https://smlouvy.gov.cz/smlouva/18635739</w:t>
        </w:r>
      </w:hyperlink>
      <w:r w:rsidRPr="00980306">
        <w:rPr>
          <w:rFonts w:ascii="Arial" w:hAnsi="Arial" w:cs="Arial"/>
          <w:sz w:val="22"/>
          <w:szCs w:val="22"/>
        </w:rPr>
        <w:t>.</w:t>
      </w:r>
    </w:p>
    <w:p w:rsidR="00CA1BC1" w:rsidRDefault="00CA1BC1" w:rsidP="00CA1BC1"/>
    <w:p w:rsidR="000A4FB0" w:rsidRDefault="000A4FB0"/>
    <w:sectPr w:rsidR="000A4FB0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3AE"/>
    <w:multiLevelType w:val="hybridMultilevel"/>
    <w:tmpl w:val="B352C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C1"/>
    <w:rsid w:val="000A4FB0"/>
    <w:rsid w:val="008B7CCE"/>
    <w:rsid w:val="00CA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A4D69-59D1-4F48-AF38-3F93C1DA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B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1BC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1BC1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A1BC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A1BC1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8B7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C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louvy.gov.cz/smlouva/186357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louvy.gov.cz/smlouva/18404911" TargetMode="External"/><Relationship Id="rId5" Type="http://schemas.openxmlformats.org/officeDocument/2006/relationships/hyperlink" Target="https://www.financnisprava.cz/cs/financni-sprava/media-a-verejnost/tiskove-zpravy-gfr/tiskove-zpravy-2019/vitezem-verejne-zakazky-na-podporu-adis-se-stala-spolecnost-o2-it-services-s-r-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2022-02-10T08:33:00Z</dcterms:created>
  <dcterms:modified xsi:type="dcterms:W3CDTF">2022-02-10T12:32:00Z</dcterms:modified>
</cp:coreProperties>
</file>