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58" w:rsidRDefault="00616858" w:rsidP="00616858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</w:t>
      </w:r>
      <w:r>
        <w:rPr>
          <w:rFonts w:ascii="Arial" w:hAnsi="Arial" w:cs="Arial"/>
          <w:b/>
          <w:sz w:val="24"/>
          <w:szCs w:val="24"/>
          <w:u w:val="single"/>
        </w:rPr>
        <w:t>vobodném přístupu k informacím 4</w:t>
      </w:r>
      <w:r>
        <w:rPr>
          <w:rFonts w:ascii="Arial" w:hAnsi="Arial" w:cs="Arial"/>
          <w:b/>
          <w:sz w:val="24"/>
          <w:szCs w:val="24"/>
          <w:u w:val="single"/>
        </w:rPr>
        <w:t>/2021</w:t>
      </w:r>
    </w:p>
    <w:p w:rsidR="00616858" w:rsidRDefault="00616858" w:rsidP="00616858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26A50">
        <w:rPr>
          <w:rFonts w:ascii="Arial" w:hAnsi="Arial" w:cs="Arial"/>
          <w:b/>
          <w:sz w:val="24"/>
          <w:szCs w:val="24"/>
          <w:u w:val="single"/>
        </w:rPr>
        <w:t>Dotaz</w:t>
      </w:r>
      <w:r w:rsidRPr="00DB729C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616858" w:rsidRPr="00616858" w:rsidRDefault="00616858" w:rsidP="00616858">
      <w:pPr>
        <w:jc w:val="both"/>
        <w:rPr>
          <w:rFonts w:ascii="Arial" w:hAnsi="Arial" w:cs="Arial"/>
          <w:color w:val="212121"/>
        </w:rPr>
      </w:pPr>
      <w:r w:rsidRPr="00616858">
        <w:rPr>
          <w:rFonts w:ascii="Arial" w:hAnsi="Arial" w:cs="Arial"/>
          <w:color w:val="212121"/>
        </w:rPr>
        <w:t>1. U kolika povinných osob došlo v letech 2018 a 2019 k porušení registrační povinnosti stanovené § 94 odst. 1 zákona č. 235/2004 Sb., o dani z přidané hodnoty?</w:t>
      </w:r>
    </w:p>
    <w:p w:rsidR="00616858" w:rsidRPr="00616858" w:rsidRDefault="00616858" w:rsidP="00616858">
      <w:pPr>
        <w:jc w:val="both"/>
        <w:rPr>
          <w:rFonts w:ascii="Arial" w:hAnsi="Arial" w:cs="Arial"/>
          <w:color w:val="212121"/>
        </w:rPr>
      </w:pPr>
      <w:r w:rsidRPr="00616858">
        <w:rPr>
          <w:rFonts w:ascii="Arial" w:hAnsi="Arial" w:cs="Arial"/>
          <w:color w:val="212121"/>
        </w:rPr>
        <w:t>2. Kolik plátců porušilo v letech 2018 a 2019 ustanovení § 92a odst. 5 zákona č. 235/2004 Sb., o dani z přidané hodnoty, když použilo režim přenesení daňové povinnosti v případě, že plátce, který poskytnul nebo přijal zdanitelné plnění, nesplnil svou registrační povinnost ve stanovené lhůtě, do dne nabytí právní moci rozhodnutí, kterým je registrován jako plátce?</w:t>
      </w:r>
    </w:p>
    <w:p w:rsidR="00616858" w:rsidRPr="00616858" w:rsidRDefault="00616858" w:rsidP="00616858">
      <w:pPr>
        <w:jc w:val="both"/>
        <w:rPr>
          <w:rFonts w:ascii="Arial" w:hAnsi="Arial" w:cs="Arial"/>
          <w:color w:val="212121"/>
        </w:rPr>
      </w:pPr>
      <w:r w:rsidRPr="00616858">
        <w:rPr>
          <w:rFonts w:ascii="Arial" w:hAnsi="Arial" w:cs="Arial"/>
          <w:color w:val="212121"/>
        </w:rPr>
        <w:t>3. Kolika plátcům uvedeným pod bodem 2. tento postup správce daně vytkl a u kolika byl tento postup tolerován?</w:t>
      </w:r>
    </w:p>
    <w:p w:rsidR="00616858" w:rsidRDefault="00616858" w:rsidP="00616858">
      <w:pPr>
        <w:pStyle w:val="Default"/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616858" w:rsidRPr="00522986" w:rsidRDefault="00616858" w:rsidP="00D41EC3">
      <w:pPr>
        <w:shd w:val="clear" w:color="auto" w:fill="FFFFFF"/>
        <w:tabs>
          <w:tab w:val="left" w:pos="2298"/>
        </w:tabs>
        <w:spacing w:after="1080" w:line="276" w:lineRule="auto"/>
        <w:jc w:val="both"/>
        <w:rPr>
          <w:rFonts w:ascii="Arial" w:hAnsi="Arial" w:cs="Arial"/>
          <w:color w:val="212121"/>
        </w:rPr>
      </w:pPr>
      <w:r>
        <w:rPr>
          <w:rFonts w:ascii="ArialMT" w:hAnsi="ArialMT" w:cs="ArialMT"/>
        </w:rPr>
        <w:t>P</w:t>
      </w:r>
      <w:r>
        <w:rPr>
          <w:rFonts w:ascii="ArialMT" w:hAnsi="ArialMT" w:cs="ArialMT"/>
        </w:rPr>
        <w:t>ožadované informace není možné získat z informačního systému používaného správci daně. Povinnost registrace k dani z přidané hodnoty je řešena v rámci konkrétních postupů a řízeních vedených správce</w:t>
      </w:r>
      <w:r>
        <w:rPr>
          <w:rFonts w:ascii="ArialMT" w:hAnsi="ArialMT" w:cs="ArialMT"/>
        </w:rPr>
        <w:t>m</w:t>
      </w:r>
      <w:r>
        <w:rPr>
          <w:rFonts w:ascii="ArialMT" w:hAnsi="ArialMT" w:cs="ArialMT"/>
        </w:rPr>
        <w:t xml:space="preserve"> daně. Citované ustanovení ZDPH v otázce označené v žádosti jako č. 2 upravuje aplikační pravidla pro daňové subjekty v oblasti režimu přenesení daňové povinnosti. Konkrétní situace však není informačním systémem sledována, tedy není možné získat ani informace k dotazu č. 3 žádosti.</w:t>
      </w:r>
    </w:p>
    <w:p w:rsidR="00616858" w:rsidRDefault="00616858" w:rsidP="00616858"/>
    <w:p w:rsidR="00616858" w:rsidRDefault="00616858" w:rsidP="00616858"/>
    <w:p w:rsidR="00616858" w:rsidRDefault="00616858" w:rsidP="00616858"/>
    <w:bookmarkEnd w:id="0"/>
    <w:p w:rsidR="00994EEC" w:rsidRDefault="00994EEC"/>
    <w:sectPr w:rsidR="00994EEC" w:rsidSect="0028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58"/>
    <w:rsid w:val="00616858"/>
    <w:rsid w:val="00994EEC"/>
    <w:rsid w:val="00D4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D7BD0-4CDA-4F46-8C2D-3498E08D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68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1685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2021-02-01T10:24:00Z</dcterms:created>
  <dcterms:modified xsi:type="dcterms:W3CDTF">2021-02-01T10:36:00Z</dcterms:modified>
</cp:coreProperties>
</file>