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6" w:rsidRPr="00DD405B" w:rsidRDefault="00607AE6" w:rsidP="00607AE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8</w:t>
      </w:r>
      <w:r>
        <w:rPr>
          <w:rFonts w:ascii="Arial" w:hAnsi="Arial" w:cs="Arial"/>
          <w:b/>
          <w:u w:val="single"/>
        </w:rPr>
        <w:t>4</w:t>
      </w:r>
      <w:r w:rsidRPr="00DD405B">
        <w:rPr>
          <w:rFonts w:ascii="Arial" w:hAnsi="Arial" w:cs="Arial"/>
          <w:b/>
          <w:u w:val="single"/>
        </w:rPr>
        <w:t>/2018</w:t>
      </w:r>
    </w:p>
    <w:p w:rsidR="00607AE6" w:rsidRDefault="00607AE6" w:rsidP="00607AE6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>V čl. 143 Organizačního řádu Finanční správy ČR je uvedeno, že: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>1. Interní akty řízení finanční správy jsou nástrojem subordinace a stanoví obecně závazná pravidla upravující záležitosti vnitřního chodu finanční správy, dále stanovují závazná pravidla pro interpretaci a aplikaci právních předpisů a stanoví jednotné postupy v rámci finanční správy.</w:t>
      </w:r>
    </w:p>
    <w:p w:rsidR="00607AE6" w:rsidRPr="007A094C" w:rsidRDefault="00607AE6" w:rsidP="00607AE6">
      <w:pPr>
        <w:jc w:val="both"/>
        <w:rPr>
          <w:rFonts w:ascii="Arial" w:hAnsi="Arial" w:cs="Arial"/>
          <w:i/>
          <w:sz w:val="20"/>
        </w:rPr>
      </w:pPr>
      <w:r w:rsidRPr="007A094C">
        <w:rPr>
          <w:rFonts w:ascii="Arial" w:hAnsi="Arial" w:cs="Arial"/>
          <w:i/>
        </w:rPr>
        <w:t>2. Interními akty řízení finanční správy jsou: a) vnitřní předpisy, b) služební předpisy.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>3. Vnitřními předpisy finanční správy se rozumí normativní akty řízení, individuální akty řízení, organizační opatření a akty metodického usměrňování.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>4. Normativními akty řízení jsou: a) řády (organizační, pracovní, spisový, podpisový, případně jiný), b) směrnice, c) pokyny. 5. Individuálními akty řízení jsou rozhodnutí.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>7. Akty metodického usměrňování jsou metodické postupy, které: a) podrobněji rozpracovávají oblast upravenou vnitřním předpisem, nebo b) upravují oblast, která není výslovně upravena vnitřním předpisem.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7A094C">
        <w:rPr>
          <w:rFonts w:ascii="Arial" w:hAnsi="Arial" w:cs="Arial"/>
          <w:i/>
        </w:rPr>
        <w:t>1) Které z výše uvedených kategorií vnitřních předpisů mají za cíl stanovovat závazná pravidla pro interpretaci a aplikaci právních předpisů?</w:t>
      </w:r>
    </w:p>
    <w:p w:rsidR="00607AE6" w:rsidRPr="007A094C" w:rsidRDefault="00607AE6" w:rsidP="00607AE6">
      <w:pPr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2) Do které z výše uvedených kategorií spadají dokumenty zveřejněné na internetových stránkách Finanční správy ČR označené jako: </w:t>
      </w:r>
    </w:p>
    <w:p w:rsidR="00607AE6" w:rsidRPr="007A094C" w:rsidRDefault="00607AE6" w:rsidP="00607AE6">
      <w:pPr>
        <w:ind w:left="708"/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a) </w:t>
      </w:r>
      <w:r w:rsidRPr="007A094C">
        <w:rPr>
          <w:rFonts w:ascii="Arial" w:hAnsi="Arial" w:cs="Arial"/>
          <w:b/>
          <w:i/>
        </w:rPr>
        <w:t>Informace</w:t>
      </w:r>
      <w:r w:rsidRPr="007A094C">
        <w:rPr>
          <w:rFonts w:ascii="Arial" w:hAnsi="Arial" w:cs="Arial"/>
          <w:i/>
        </w:rPr>
        <w:t xml:space="preserve"> (např. Informace GFŘ k aplikaci § 106a zákona č. 235/2004 Sb., o dani z přidané hodnoty, ve znění pozdějších předpisů (nespolehlivý plátce) a souvisejících ustanovení, č. j. 101/13-121002-506729);</w:t>
      </w:r>
    </w:p>
    <w:p w:rsidR="00607AE6" w:rsidRPr="007A094C" w:rsidRDefault="00607AE6" w:rsidP="00607AE6">
      <w:pPr>
        <w:ind w:left="708"/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b) </w:t>
      </w:r>
      <w:r w:rsidRPr="007A094C">
        <w:rPr>
          <w:rFonts w:ascii="Arial" w:hAnsi="Arial" w:cs="Arial"/>
          <w:b/>
          <w:i/>
        </w:rPr>
        <w:t>Metodika</w:t>
      </w:r>
      <w:r w:rsidRPr="007A094C">
        <w:rPr>
          <w:rFonts w:ascii="Arial" w:hAnsi="Arial" w:cs="Arial"/>
          <w:i/>
        </w:rPr>
        <w:t xml:space="preserve"> (např. Metodika realizace zajišťovacího příkazu dle zákona č. 280/2009 Sb., daňový řád, ve znění pozdějších předpisů, č. j. 7342/11-2310);</w:t>
      </w:r>
    </w:p>
    <w:p w:rsidR="00607AE6" w:rsidRPr="007A094C" w:rsidRDefault="00607AE6" w:rsidP="00607AE6">
      <w:pPr>
        <w:ind w:left="708"/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c) </w:t>
      </w:r>
      <w:r w:rsidRPr="007A094C">
        <w:rPr>
          <w:rFonts w:ascii="Arial" w:hAnsi="Arial" w:cs="Arial"/>
          <w:b/>
          <w:i/>
        </w:rPr>
        <w:t>Metodická pomůcka</w:t>
      </w:r>
      <w:r w:rsidRPr="007A094C">
        <w:rPr>
          <w:rFonts w:ascii="Arial" w:hAnsi="Arial" w:cs="Arial"/>
          <w:i/>
        </w:rPr>
        <w:t xml:space="preserve"> (např. Metodická pomůcka k povinnému elektronickému podání podle § 72 odst. 4 a souvisejících DŘ, č. j. 14829/15/7100-40123-010450);</w:t>
      </w:r>
    </w:p>
    <w:p w:rsidR="00607AE6" w:rsidRPr="007A094C" w:rsidRDefault="00607AE6" w:rsidP="00607AE6">
      <w:pPr>
        <w:ind w:left="708"/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d) </w:t>
      </w:r>
      <w:r w:rsidRPr="007A094C">
        <w:rPr>
          <w:rFonts w:ascii="Arial" w:hAnsi="Arial" w:cs="Arial"/>
          <w:b/>
          <w:i/>
        </w:rPr>
        <w:t>Pokyn</w:t>
      </w:r>
      <w:r w:rsidRPr="007A094C">
        <w:rPr>
          <w:rFonts w:ascii="Arial" w:hAnsi="Arial" w:cs="Arial"/>
          <w:i/>
        </w:rPr>
        <w:t xml:space="preserve"> (např. Pokyn GFŘ-D-29 k prominutí pokut za nepodání kontrolního hlášení, č. j. 111096/16/7100-20116-050484);</w:t>
      </w:r>
    </w:p>
    <w:p w:rsidR="00607AE6" w:rsidRPr="007A094C" w:rsidRDefault="00607AE6" w:rsidP="00607AE6">
      <w:pPr>
        <w:ind w:left="708"/>
        <w:jc w:val="both"/>
        <w:rPr>
          <w:rFonts w:ascii="Arial" w:hAnsi="Arial" w:cs="Arial"/>
          <w:i/>
        </w:rPr>
      </w:pPr>
      <w:r w:rsidRPr="007A094C">
        <w:rPr>
          <w:rFonts w:ascii="Arial" w:hAnsi="Arial" w:cs="Arial"/>
          <w:i/>
        </w:rPr>
        <w:t xml:space="preserve">e) </w:t>
      </w:r>
      <w:r w:rsidRPr="007A094C">
        <w:rPr>
          <w:rFonts w:ascii="Arial" w:hAnsi="Arial" w:cs="Arial"/>
          <w:b/>
          <w:i/>
        </w:rPr>
        <w:t>Metodický pokyn</w:t>
      </w:r>
      <w:r w:rsidRPr="007A094C">
        <w:rPr>
          <w:rFonts w:ascii="Arial" w:hAnsi="Arial" w:cs="Arial"/>
          <w:i/>
        </w:rPr>
        <w:t xml:space="preserve"> (např. Metodický pokyn k postupu správce daně při vydávání zajišťovacího příkazu, č. j. 87133/17/7700-30133-711377).</w:t>
      </w:r>
    </w:p>
    <w:p w:rsidR="00607AE6" w:rsidRDefault="00607AE6" w:rsidP="00607AE6">
      <w:pPr>
        <w:pStyle w:val="Default"/>
        <w:tabs>
          <w:tab w:val="center" w:pos="4536"/>
        </w:tabs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7AE6" w:rsidRPr="00DD405B" w:rsidRDefault="00607AE6" w:rsidP="00607AE6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07AE6" w:rsidRDefault="00607AE6" w:rsidP="00607AE6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Z výše uvedených normativních aktů řízení stanovují všechna závazná pravidla, většinou jde však o interní akty řízení, které se nedotýkají nikoho navenek s výjimkou interních aktů řízení v kategorii „pokyny“, které se mohou dotýkat veřejnosti. </w:t>
      </w:r>
    </w:p>
    <w:p w:rsidR="00607AE6" w:rsidRDefault="00607AE6" w:rsidP="00607AE6">
      <w:pPr>
        <w:autoSpaceDE w:val="0"/>
        <w:autoSpaceDN w:val="0"/>
        <w:adjustRightInd w:val="0"/>
        <w:spacing w:after="100" w:afterAutospacing="1"/>
        <w:jc w:val="both"/>
      </w:pPr>
      <w:r>
        <w:rPr>
          <w:rFonts w:ascii="Arial" w:hAnsi="Arial" w:cs="Arial"/>
        </w:rPr>
        <w:lastRenderedPageBreak/>
        <w:t xml:space="preserve">Ad 2) Z pohledu Organizačního řádu, a jak je uvedeno výše, jde o „pokyny“. </w:t>
      </w:r>
    </w:p>
    <w:sectPr w:rsidR="0060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3428A3"/>
    <w:rsid w:val="00607AE6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7A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07A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7A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07A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2082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2018-11-13T15:51:00Z</dcterms:created>
  <dcterms:modified xsi:type="dcterms:W3CDTF">2018-11-13T15:52:00Z</dcterms:modified>
</cp:coreProperties>
</file>