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8E" w:rsidRPr="00DD405B" w:rsidRDefault="00A05C8E" w:rsidP="00A05C8E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80</w:t>
      </w:r>
      <w:r w:rsidRPr="00DD405B">
        <w:rPr>
          <w:rFonts w:ascii="Arial" w:hAnsi="Arial" w:cs="Arial"/>
          <w:b/>
          <w:u w:val="single"/>
        </w:rPr>
        <w:t>/2018</w:t>
      </w:r>
    </w:p>
    <w:p w:rsidR="00A05C8E" w:rsidRDefault="00A05C8E" w:rsidP="00A05C8E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A05C8E" w:rsidRPr="00155989" w:rsidRDefault="00A05C8E" w:rsidP="00A05C8E">
      <w:pPr>
        <w:contextualSpacing/>
        <w:rPr>
          <w:rFonts w:ascii="Arial" w:hAnsi="Arial" w:cs="Arial"/>
          <w:i/>
        </w:rPr>
      </w:pPr>
      <w:r w:rsidRPr="00155989">
        <w:rPr>
          <w:rFonts w:ascii="Arial" w:hAnsi="Arial" w:cs="Arial"/>
          <w:i/>
        </w:rPr>
        <w:t>Tímto žádáme o poskytnutí informace podle zákona č. 106/1999 Sb., v platném znění:</w:t>
      </w:r>
    </w:p>
    <w:p w:rsidR="00A05C8E" w:rsidRPr="00155989" w:rsidRDefault="00A05C8E" w:rsidP="00A05C8E">
      <w:pPr>
        <w:pStyle w:val="Odstavecseseznamem"/>
        <w:numPr>
          <w:ilvl w:val="0"/>
          <w:numId w:val="1"/>
        </w:numPr>
        <w:rPr>
          <w:rFonts w:ascii="Arial" w:eastAsia="Calibri" w:hAnsi="Arial" w:cs="Arial"/>
          <w:i/>
          <w:sz w:val="22"/>
        </w:rPr>
      </w:pPr>
      <w:r w:rsidRPr="00155989">
        <w:rPr>
          <w:rFonts w:ascii="Arial" w:eastAsia="Calibri" w:hAnsi="Arial" w:cs="Arial"/>
          <w:i/>
          <w:sz w:val="22"/>
        </w:rPr>
        <w:t>jakou metodou a na základě jakých vstupních dat povinný subjekt k odhadu daňového úniku ve výši 43 mld. Kč za letošní rok dospěl;</w:t>
      </w:r>
    </w:p>
    <w:p w:rsidR="00A05C8E" w:rsidRPr="00155989" w:rsidRDefault="00A05C8E" w:rsidP="00A05C8E">
      <w:pPr>
        <w:pStyle w:val="Odstavecseseznamem"/>
        <w:numPr>
          <w:ilvl w:val="0"/>
          <w:numId w:val="1"/>
        </w:numPr>
        <w:rPr>
          <w:rFonts w:ascii="Arial" w:eastAsia="Calibri" w:hAnsi="Arial" w:cs="Arial"/>
          <w:i/>
          <w:sz w:val="22"/>
        </w:rPr>
      </w:pPr>
      <w:r w:rsidRPr="00155989">
        <w:rPr>
          <w:rFonts w:ascii="Arial" w:eastAsia="Calibri" w:hAnsi="Arial" w:cs="Arial"/>
          <w:i/>
          <w:sz w:val="22"/>
        </w:rPr>
        <w:t>zda je povinnému subjektu známa metodika výpočtu daňových úniků Evropské komise, která si ji nechává dle slov generálního ředitele zpracovávat každý rok;</w:t>
      </w:r>
    </w:p>
    <w:p w:rsidR="00A05C8E" w:rsidRPr="00155989" w:rsidRDefault="00A05C8E" w:rsidP="00A05C8E">
      <w:pPr>
        <w:pStyle w:val="Odstavecseseznamem"/>
        <w:numPr>
          <w:ilvl w:val="0"/>
          <w:numId w:val="1"/>
        </w:numPr>
        <w:rPr>
          <w:rFonts w:ascii="Arial" w:eastAsia="Calibri" w:hAnsi="Arial" w:cs="Arial"/>
          <w:i/>
          <w:sz w:val="22"/>
        </w:rPr>
      </w:pPr>
      <w:r w:rsidRPr="00155989">
        <w:rPr>
          <w:rFonts w:ascii="Arial" w:eastAsia="Calibri" w:hAnsi="Arial" w:cs="Arial"/>
          <w:i/>
          <w:sz w:val="22"/>
        </w:rPr>
        <w:t>pokud ano, pak zda a v čem se metodika GFŘ odlišuje od metodiky Evropské komise;</w:t>
      </w:r>
    </w:p>
    <w:p w:rsidR="00A05C8E" w:rsidRPr="00155989" w:rsidRDefault="00A05C8E" w:rsidP="00A05C8E">
      <w:pPr>
        <w:pStyle w:val="Odstavecseseznamem"/>
        <w:numPr>
          <w:ilvl w:val="0"/>
          <w:numId w:val="1"/>
        </w:numPr>
        <w:rPr>
          <w:rFonts w:ascii="Arial" w:eastAsia="Calibri" w:hAnsi="Arial" w:cs="Arial"/>
          <w:i/>
          <w:sz w:val="22"/>
        </w:rPr>
      </w:pPr>
      <w:r w:rsidRPr="00155989">
        <w:rPr>
          <w:rFonts w:ascii="Arial" w:eastAsia="Calibri" w:hAnsi="Arial" w:cs="Arial"/>
          <w:i/>
          <w:sz w:val="22"/>
        </w:rPr>
        <w:t>zda je povinnému subjektu známo stanovení množství tuzemských daňových úniků Evropskou komisí i za roky 2014, 2016 a 2017. Pokud ano, žádáme o informaci, kolik tyto úniky podle Evropské komise činily.</w:t>
      </w:r>
    </w:p>
    <w:p w:rsidR="00A05C8E" w:rsidRPr="00155989" w:rsidRDefault="00A05C8E" w:rsidP="00A05C8E">
      <w:pPr>
        <w:jc w:val="both"/>
        <w:rPr>
          <w:rFonts w:ascii="Arial" w:hAnsi="Arial" w:cs="Arial"/>
          <w:i/>
        </w:rPr>
      </w:pPr>
      <w:r w:rsidRPr="00155989">
        <w:rPr>
          <w:rFonts w:ascii="Arial" w:hAnsi="Arial" w:cs="Arial"/>
          <w:i/>
        </w:rPr>
        <w:t xml:space="preserve">Dále pak žádáme o sdělení, jaká část z odhadů daňových úniků za roky 2014, 2015 a 2016, stanovených dle metodiky EK, připadá na karuselové podvody, jakož i jakou metodou se k tomuto dospělo. </w:t>
      </w:r>
    </w:p>
    <w:p w:rsidR="00A05C8E" w:rsidRPr="00DD405B" w:rsidRDefault="00A05C8E" w:rsidP="00A05C8E">
      <w:pPr>
        <w:autoSpaceDE w:val="0"/>
        <w:autoSpaceDN w:val="0"/>
        <w:adjustRightInd w:val="0"/>
        <w:spacing w:after="100" w:afterAutospacing="1"/>
        <w:jc w:val="both"/>
        <w:rPr>
          <w:rFonts w:ascii="Arial" w:eastAsia="Times New Roman" w:hAnsi="Arial" w:cs="Arial"/>
          <w:lang w:val="sk-SK"/>
        </w:rPr>
      </w:pPr>
      <w:r w:rsidRPr="00DD405B">
        <w:rPr>
          <w:rFonts w:ascii="Arial" w:hAnsi="Arial" w:cs="Arial"/>
          <w:b/>
          <w:u w:val="single"/>
        </w:rPr>
        <w:t>Odpověď:</w:t>
      </w:r>
      <w:r w:rsidRPr="00DD405B">
        <w:t xml:space="preserve"> </w:t>
      </w:r>
      <w:r>
        <w:tab/>
      </w:r>
    </w:p>
    <w:p w:rsidR="00A05C8E" w:rsidRPr="00155989" w:rsidRDefault="00A05C8E" w:rsidP="00A05C8E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bookmarkStart w:id="0" w:name="_GoBack"/>
      <w:bookmarkEnd w:id="0"/>
      <w:r>
        <w:rPr>
          <w:rFonts w:ascii="Arial" w:hAnsi="Arial" w:cs="Arial"/>
        </w:rPr>
        <w:t>e třeba uvést, že pan</w:t>
      </w:r>
      <w:r w:rsidRPr="00155989">
        <w:rPr>
          <w:rFonts w:ascii="Arial" w:hAnsi="Arial" w:cs="Arial"/>
        </w:rPr>
        <w:t xml:space="preserve"> generální ředitel mluvil o hrubých odhadech VAT GAP, které si zpracovává Finanční správa</w:t>
      </w:r>
      <w:r>
        <w:rPr>
          <w:rFonts w:ascii="Arial" w:hAnsi="Arial" w:cs="Arial"/>
        </w:rPr>
        <w:t xml:space="preserve">. </w:t>
      </w:r>
      <w:r w:rsidRPr="00155989">
        <w:rPr>
          <w:rFonts w:ascii="Arial" w:hAnsi="Arial" w:cs="Arial"/>
        </w:rPr>
        <w:t>Odhady jsou průběžně zpřesňovány a porovnávány s hodnotami VAT GAP, které zveřejňuje (pozn. nutno podotknout se zpožděním) Evropská komise ve studii</w:t>
      </w:r>
      <w:r>
        <w:rPr>
          <w:rFonts w:ascii="Arial" w:hAnsi="Arial" w:cs="Arial"/>
        </w:rPr>
        <w:t xml:space="preserve">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 xml:space="preserve">Pan generální ředitel mluvil o daňových únicích, což představuje rozdíl (tak jak je definován VAT GAP) mezi očekávaným a skutečným výběrem DPH.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>V závěru minulého měsíce (dne 25.</w:t>
      </w:r>
      <w:r>
        <w:rPr>
          <w:rFonts w:ascii="Arial" w:hAnsi="Arial" w:cs="Arial"/>
        </w:rPr>
        <w:t xml:space="preserve"> </w:t>
      </w:r>
      <w:r w:rsidRPr="00155989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155989">
        <w:rPr>
          <w:rFonts w:ascii="Arial" w:hAnsi="Arial" w:cs="Arial"/>
        </w:rPr>
        <w:t xml:space="preserve">2018) zveřejnilo MF na svých stránkách nejnovější výsledky VAT </w:t>
      </w:r>
      <w:proofErr w:type="spellStart"/>
      <w:r w:rsidRPr="00155989">
        <w:rPr>
          <w:rFonts w:ascii="Arial" w:hAnsi="Arial" w:cs="Arial"/>
        </w:rPr>
        <w:t>GAPu</w:t>
      </w:r>
      <w:proofErr w:type="spellEnd"/>
      <w:r w:rsidRPr="00155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již i </w:t>
      </w:r>
      <w:r w:rsidRPr="00155989">
        <w:rPr>
          <w:rFonts w:ascii="Arial" w:hAnsi="Arial" w:cs="Arial"/>
        </w:rPr>
        <w:t>za rok 2016 včetně odkazu na předmětnou studii Evropské komise. Ve</w:t>
      </w:r>
      <w:r>
        <w:rPr>
          <w:rFonts w:ascii="Arial" w:hAnsi="Arial" w:cs="Arial"/>
        </w:rPr>
        <w:t> </w:t>
      </w:r>
      <w:r w:rsidRPr="00155989">
        <w:rPr>
          <w:rFonts w:ascii="Arial" w:hAnsi="Arial" w:cs="Arial"/>
        </w:rPr>
        <w:t xml:space="preserve">věci údajů o velikosti a vývoji VAT </w:t>
      </w:r>
      <w:proofErr w:type="spellStart"/>
      <w:r w:rsidRPr="00155989">
        <w:rPr>
          <w:rFonts w:ascii="Arial" w:hAnsi="Arial" w:cs="Arial"/>
        </w:rPr>
        <w:t>GAPu</w:t>
      </w:r>
      <w:proofErr w:type="spellEnd"/>
      <w:r w:rsidRPr="00155989">
        <w:rPr>
          <w:rFonts w:ascii="Arial" w:hAnsi="Arial" w:cs="Arial"/>
        </w:rPr>
        <w:t xml:space="preserve"> zjištěných Evropskou komisí proto o</w:t>
      </w:r>
      <w:r>
        <w:rPr>
          <w:rFonts w:ascii="Arial" w:hAnsi="Arial" w:cs="Arial"/>
        </w:rPr>
        <w:t xml:space="preserve">dkazujeme na tyto dokumenty - </w:t>
      </w:r>
      <w:hyperlink r:id="rId6" w:history="1">
        <w:r w:rsidRPr="00155989">
          <w:rPr>
            <w:rStyle w:val="Hypertextovodkaz"/>
            <w:rFonts w:ascii="Arial" w:hAnsi="Arial" w:cs="Arial"/>
          </w:rPr>
          <w:t>https://www.mfcr.cz/cs/aktualne/tiskove-zpravy/2018/studie-evropske-komise-cesko-se-dlouhodo-33019</w:t>
        </w:r>
      </w:hyperlink>
      <w:r>
        <w:rPr>
          <w:rStyle w:val="Hypertextovodkaz"/>
          <w:rFonts w:ascii="Arial" w:hAnsi="Arial" w:cs="Arial"/>
        </w:rPr>
        <w:t xml:space="preserve">, </w:t>
      </w:r>
      <w:hyperlink r:id="rId7" w:history="1">
        <w:r w:rsidRPr="00155989">
          <w:rPr>
            <w:rStyle w:val="Hypertextovodkaz"/>
            <w:rFonts w:ascii="Arial" w:hAnsi="Arial" w:cs="Arial"/>
          </w:rPr>
          <w:t>https://ec.europa.eu/taxation_customs/sites/taxation/files/2018_vat_gap_report_en.pdf</w:t>
        </w:r>
      </w:hyperlink>
      <w:r w:rsidRPr="00155989">
        <w:rPr>
          <w:rStyle w:val="Hypertextovodkaz"/>
          <w:rFonts w:ascii="Arial" w:hAnsi="Arial" w:cs="Arial"/>
        </w:rPr>
        <w:t xml:space="preserve">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 xml:space="preserve">K části, ve které žádáte, jak Finanční správa dospěla k odhadu ve výši 43 mld. Kč za letošní rok, uvádíme, že se skutečně jedná o hrubou prognózu, která bude logicky upřesňována tak, jak budou známy konkrétní hodnoty o výkonu ekonomiky zveřejňované ČSÚ.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>Při svých odhadech vychází Finanční správa z makroekonomické metody „top-</w:t>
      </w:r>
      <w:proofErr w:type="spellStart"/>
      <w:r w:rsidRPr="00155989">
        <w:rPr>
          <w:rFonts w:ascii="Arial" w:hAnsi="Arial" w:cs="Arial"/>
        </w:rPr>
        <w:t>down</w:t>
      </w:r>
      <w:proofErr w:type="spellEnd"/>
      <w:r w:rsidRPr="00155989">
        <w:rPr>
          <w:rFonts w:ascii="Arial" w:hAnsi="Arial" w:cs="Arial"/>
        </w:rPr>
        <w:t xml:space="preserve">“ - Metoda výpočtu z HDP, kdy je získán teoretický základ daně.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>Hodnota HDP je postupně upravována o vybrané makroekonomické ukazatele, průběžně zveřejňované ČSÚ s tím, že pokud ještě nejsou hodnoty zveřejněny, jsou prováděny odhady vycházející jednak z aktuálního vývoje ekonomiky a jednak z vývojo</w:t>
      </w:r>
      <w:r>
        <w:rPr>
          <w:rFonts w:ascii="Arial" w:hAnsi="Arial" w:cs="Arial"/>
        </w:rPr>
        <w:t xml:space="preserve">vého trendu minulých období.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lastRenderedPageBreak/>
        <w:t xml:space="preserve">Do úpravy HDP postupně vstupují ukazatele ovlivňující tvorbu hrubého kapitálu, vládní spotřeby, spotřeby domácností.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 xml:space="preserve">Teoretický základ je následně „zdaněn“ a porovnán se skutečným výběrem (inkasem) DPH. Rozdíl mezi předpokládanou daní a inkasem tvoří hrubý odhad VAT </w:t>
      </w:r>
      <w:proofErr w:type="spellStart"/>
      <w:r w:rsidRPr="00155989">
        <w:rPr>
          <w:rFonts w:ascii="Arial" w:hAnsi="Arial" w:cs="Arial"/>
        </w:rPr>
        <w:t>GAPu</w:t>
      </w:r>
      <w:proofErr w:type="spellEnd"/>
      <w:r w:rsidRPr="00155989">
        <w:rPr>
          <w:rFonts w:ascii="Arial" w:hAnsi="Arial" w:cs="Arial"/>
        </w:rPr>
        <w:t xml:space="preserve">.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 xml:space="preserve">Lze ještě poznamenat, že odhady VAT </w:t>
      </w:r>
      <w:proofErr w:type="spellStart"/>
      <w:r w:rsidRPr="00155989">
        <w:rPr>
          <w:rFonts w:ascii="Arial" w:hAnsi="Arial" w:cs="Arial"/>
        </w:rPr>
        <w:t>GAPu</w:t>
      </w:r>
      <w:proofErr w:type="spellEnd"/>
      <w:r w:rsidRPr="00155989">
        <w:rPr>
          <w:rFonts w:ascii="Arial" w:hAnsi="Arial" w:cs="Arial"/>
        </w:rPr>
        <w:t xml:space="preserve"> pro příští roky uvažují i s hrubými predikcemi přínosů opatření proti daňovým únikům. 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 xml:space="preserve">Pro ilustraci uvádíme porovnání VAT </w:t>
      </w:r>
      <w:proofErr w:type="spellStart"/>
      <w:r w:rsidRPr="00155989">
        <w:rPr>
          <w:rFonts w:ascii="Arial" w:hAnsi="Arial" w:cs="Arial"/>
        </w:rPr>
        <w:t>GAPu</w:t>
      </w:r>
      <w:proofErr w:type="spellEnd"/>
      <w:r w:rsidRPr="00155989">
        <w:rPr>
          <w:rFonts w:ascii="Arial" w:hAnsi="Arial" w:cs="Arial"/>
        </w:rPr>
        <w:t xml:space="preserve"> České republiky, jak jej zveřejňuje Evropská komise a jak odhadovala FS v % vyjádření, a to v letech 2015 až 2016.  </w:t>
      </w:r>
    </w:p>
    <w:p w:rsidR="00A05C8E" w:rsidRPr="00155989" w:rsidRDefault="00A05C8E" w:rsidP="00A05C8E">
      <w:pPr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>Odhad roku 2016 bude analyzován ve vazbě na nedávno zveřejněné výsledky EK a odhady roků 2017 a 2018 budou dále zpřesňovány.</w:t>
      </w:r>
    </w:p>
    <w:tbl>
      <w:tblPr>
        <w:tblW w:w="5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960"/>
        <w:gridCol w:w="960"/>
        <w:gridCol w:w="960"/>
        <w:gridCol w:w="960"/>
      </w:tblGrid>
      <w:tr w:rsidR="00A05C8E" w:rsidRPr="00155989" w:rsidTr="00CF0BD5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VAT GAP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2018</w:t>
            </w:r>
          </w:p>
        </w:tc>
      </w:tr>
      <w:tr w:rsidR="00A05C8E" w:rsidRPr="00155989" w:rsidTr="00CF0BD5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Evropská komise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16,92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14,19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A05C8E" w:rsidRPr="00155989" w:rsidTr="00CF0BD5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 xml:space="preserve">Odhady FS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17,10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C8E" w:rsidRPr="00155989" w:rsidRDefault="00A05C8E" w:rsidP="00CF0B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155989">
              <w:rPr>
                <w:rFonts w:ascii="Arial" w:eastAsia="Times New Roman" w:hAnsi="Arial" w:cs="Arial"/>
                <w:lang w:eastAsia="cs-CZ"/>
              </w:rPr>
              <w:t>10,00</w:t>
            </w:r>
          </w:p>
        </w:tc>
      </w:tr>
    </w:tbl>
    <w:p w:rsidR="00A05C8E" w:rsidRPr="00155989" w:rsidRDefault="00A05C8E" w:rsidP="00A05C8E">
      <w:pPr>
        <w:spacing w:before="240"/>
        <w:jc w:val="both"/>
        <w:rPr>
          <w:rFonts w:ascii="Arial" w:hAnsi="Arial" w:cs="Arial"/>
        </w:rPr>
      </w:pPr>
      <w:r w:rsidRPr="00155989">
        <w:rPr>
          <w:rFonts w:ascii="Arial" w:hAnsi="Arial" w:cs="Arial"/>
        </w:rPr>
        <w:t xml:space="preserve">Pokud se jedná o dotaz, jak velký podíl mají na odhadech karuselové podvody, uvádíme, že toto číslo neodhadujeme. Nicméně je možné uvést, že v rámci boje proti daňovým únikům byl zaveden institut kontrolního hlášení, s jehož pomocí lze celkem úspěšně detekovat karuselový podvod, přičemž pro rok 2016 je odhadován přínos kontrolního hlášení do inkasa DPH ve výši 12,3 mld. Kč a pro rok 2017 (přírůstkově k roku 2016) dalších 5,5 mld. Kč. Nutno však dodat, že zavedením kontrolního hlášení, byť tento institut významně pomohl snížit daňové úniky připadající na karuselové podvody, nedošlo k jejich úplnému vymizení (viz údaje o VAT </w:t>
      </w:r>
      <w:proofErr w:type="spellStart"/>
      <w:r w:rsidRPr="00155989">
        <w:rPr>
          <w:rFonts w:ascii="Arial" w:hAnsi="Arial" w:cs="Arial"/>
        </w:rPr>
        <w:t>GAPu</w:t>
      </w:r>
      <w:proofErr w:type="spellEnd"/>
      <w:r w:rsidRPr="00155989">
        <w:rPr>
          <w:rFonts w:ascii="Arial" w:hAnsi="Arial" w:cs="Arial"/>
        </w:rPr>
        <w:t xml:space="preserve">) a je třeba hledat další nástroje a postupy s cílem minimalizace VAT GAP. </w:t>
      </w:r>
    </w:p>
    <w:p w:rsidR="00A05C8E" w:rsidRDefault="00A05C8E" w:rsidP="00A05C8E"/>
    <w:p w:rsidR="0045672E" w:rsidRDefault="00A05C8E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542"/>
    <w:multiLevelType w:val="hybridMultilevel"/>
    <w:tmpl w:val="7B20E0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E"/>
    <w:rsid w:val="003428A3"/>
    <w:rsid w:val="00930D15"/>
    <w:rsid w:val="00A05C8E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5C8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5C8E"/>
    <w:pPr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A05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5C8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05C8E"/>
    <w:pPr>
      <w:ind w:left="720"/>
      <w:contextualSpacing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A05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taxation_customs/sites/taxation/files/2018_vat_gap_report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cr.cz/cs/aktualne/tiskove-zpravy/2018/studie-evropske-komise-cesko-se-dlouhodo-33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608</Words>
  <Characters>3593</Characters>
  <Application>Microsoft Office Word</Application>
  <DocSecurity>0</DocSecurity>
  <Lines>29</Lines>
  <Paragraphs>8</Paragraphs>
  <ScaleCrop>false</ScaleCrop>
  <Company>Finanční správa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2018-11-13T14:54:00Z</dcterms:created>
  <dcterms:modified xsi:type="dcterms:W3CDTF">2018-11-13T15:19:00Z</dcterms:modified>
</cp:coreProperties>
</file>