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60" w:rsidRPr="00F56B1A" w:rsidRDefault="00511960" w:rsidP="00511960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</w:t>
      </w:r>
      <w:r w:rsidR="00000FC6">
        <w:rPr>
          <w:rFonts w:ascii="Arial" w:hAnsi="Arial" w:cs="Arial"/>
          <w:b/>
          <w:sz w:val="22"/>
          <w:szCs w:val="22"/>
          <w:u w:val="single"/>
        </w:rPr>
        <w:t>obodném přístupu k informacím 91</w:t>
      </w:r>
      <w:bookmarkStart w:id="0" w:name="_GoBack"/>
      <w:bookmarkEnd w:id="0"/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511960" w:rsidRDefault="00511960" w:rsidP="00511960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3377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511960" w:rsidRDefault="00511960" w:rsidP="00000FC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Žádám</w:t>
      </w:r>
      <w:r w:rsidR="00000FC6">
        <w:rPr>
          <w:rFonts w:ascii="Arial" w:hAnsi="Arial" w:cs="Arial"/>
          <w:sz w:val="22"/>
          <w:szCs w:val="22"/>
        </w:rPr>
        <w:t xml:space="preserve"> o</w:t>
      </w:r>
      <w:r w:rsidRPr="00DE7D87">
        <w:rPr>
          <w:rFonts w:ascii="Arial" w:hAnsi="Arial" w:cs="Arial"/>
          <w:sz w:val="22"/>
          <w:szCs w:val="22"/>
        </w:rPr>
        <w:t xml:space="preserve"> </w:t>
      </w:r>
      <w:r w:rsidR="00000FC6" w:rsidRPr="008A784D">
        <w:rPr>
          <w:rFonts w:ascii="Arial" w:hAnsi="Arial" w:cs="Arial"/>
          <w:sz w:val="22"/>
          <w:szCs w:val="22"/>
        </w:rPr>
        <w:t>poskytnutí informací k zajišťovacím příkazům, konkrétně statistické údaje týkají se zajišťovacích příkazů</w:t>
      </w:r>
      <w:r w:rsidR="00000FC6">
        <w:rPr>
          <w:rFonts w:ascii="Arial" w:hAnsi="Arial" w:cs="Arial"/>
          <w:sz w:val="22"/>
          <w:szCs w:val="22"/>
        </w:rPr>
        <w:t xml:space="preserve"> a jiných institutů k zajištění daně</w:t>
      </w:r>
      <w:r w:rsidR="00000FC6">
        <w:rPr>
          <w:rFonts w:ascii="Arial" w:hAnsi="Arial" w:cs="Arial"/>
          <w:sz w:val="22"/>
          <w:szCs w:val="22"/>
        </w:rPr>
        <w:t>. Dále žádám</w:t>
      </w:r>
      <w:r w:rsidR="00000FC6" w:rsidRPr="008A784D">
        <w:rPr>
          <w:rFonts w:ascii="Arial" w:hAnsi="Arial" w:cs="Arial"/>
          <w:sz w:val="22"/>
          <w:szCs w:val="22"/>
        </w:rPr>
        <w:t xml:space="preserve"> informaci o vyplacen</w:t>
      </w:r>
      <w:r w:rsidR="00000FC6">
        <w:rPr>
          <w:rFonts w:ascii="Arial" w:hAnsi="Arial" w:cs="Arial"/>
          <w:sz w:val="22"/>
          <w:szCs w:val="22"/>
        </w:rPr>
        <w:t>é</w:t>
      </w:r>
      <w:r w:rsidR="00000FC6" w:rsidRPr="008A784D">
        <w:rPr>
          <w:rFonts w:ascii="Arial" w:hAnsi="Arial" w:cs="Arial"/>
          <w:sz w:val="22"/>
          <w:szCs w:val="22"/>
        </w:rPr>
        <w:t xml:space="preserve">m úroku z neoprávněného jednání správce daně dle § 254 DŘ a informaci o vyplacených náhradách </w:t>
      </w:r>
      <w:r w:rsidR="00000FC6">
        <w:rPr>
          <w:rFonts w:ascii="Arial" w:hAnsi="Arial" w:cs="Arial"/>
          <w:sz w:val="22"/>
          <w:szCs w:val="22"/>
        </w:rPr>
        <w:t>škod po</w:t>
      </w:r>
      <w:r w:rsidR="00000FC6" w:rsidRPr="008A784D">
        <w:rPr>
          <w:rFonts w:ascii="Arial" w:hAnsi="Arial" w:cs="Arial"/>
          <w:sz w:val="22"/>
          <w:szCs w:val="22"/>
        </w:rPr>
        <w:t>dle zákona č. 82/1998 Sb.</w:t>
      </w:r>
      <w:r w:rsidR="00000FC6">
        <w:rPr>
          <w:rFonts w:ascii="Arial" w:hAnsi="Arial" w:cs="Arial"/>
          <w:sz w:val="22"/>
          <w:szCs w:val="22"/>
        </w:rPr>
        <w:t>, ve znění pozdějších předpisů (dále jen „zák. č. 82/1998 Sb.), </w:t>
      </w:r>
      <w:r w:rsidR="00000FC6" w:rsidRPr="008A784D">
        <w:rPr>
          <w:rFonts w:ascii="Arial" w:hAnsi="Arial" w:cs="Arial"/>
          <w:sz w:val="22"/>
          <w:szCs w:val="22"/>
        </w:rPr>
        <w:t xml:space="preserve">v souvislosti </w:t>
      </w:r>
      <w:r w:rsidR="00000FC6">
        <w:rPr>
          <w:rFonts w:ascii="Arial" w:hAnsi="Arial" w:cs="Arial"/>
          <w:sz w:val="22"/>
          <w:szCs w:val="22"/>
        </w:rPr>
        <w:t>s</w:t>
      </w:r>
      <w:r w:rsidR="00000FC6" w:rsidRPr="008A784D">
        <w:rPr>
          <w:rFonts w:ascii="Arial" w:hAnsi="Arial" w:cs="Arial"/>
          <w:sz w:val="22"/>
          <w:szCs w:val="22"/>
        </w:rPr>
        <w:t>e zajišťovacími příkazy.</w:t>
      </w:r>
    </w:p>
    <w:p w:rsidR="00000FC6" w:rsidRPr="00723E1A" w:rsidRDefault="00000FC6" w:rsidP="00000FC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11960" w:rsidRPr="00B43377" w:rsidRDefault="00511960" w:rsidP="00511960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3377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000FC6" w:rsidRDefault="00000FC6" w:rsidP="00000FC6">
      <w:pPr>
        <w:spacing w:after="100" w:afterAutospacing="1" w:line="276" w:lineRule="auto"/>
        <w:jc w:val="both"/>
        <w:rPr>
          <w:rStyle w:val="Hypertextovodkaz"/>
          <w:rFonts w:ascii="Arial" w:hAnsi="Arial" w:cs="Arial"/>
          <w:sz w:val="22"/>
          <w:szCs w:val="22"/>
        </w:rPr>
      </w:pPr>
      <w:r w:rsidRPr="008A784D">
        <w:rPr>
          <w:rFonts w:ascii="Arial" w:hAnsi="Arial" w:cs="Arial"/>
          <w:sz w:val="22"/>
          <w:szCs w:val="22"/>
        </w:rPr>
        <w:t xml:space="preserve">Na odkazu </w:t>
      </w:r>
      <w:hyperlink r:id="rId4" w:history="1">
        <w:r w:rsidRPr="008A784D"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  <w:r w:rsidRPr="008A784D">
        <w:rPr>
          <w:rFonts w:ascii="Arial" w:hAnsi="Arial" w:cs="Arial"/>
          <w:sz w:val="22"/>
          <w:szCs w:val="22"/>
        </w:rPr>
        <w:t xml:space="preserve"> nalezne</w:t>
      </w:r>
      <w:r>
        <w:rPr>
          <w:rFonts w:ascii="Arial" w:hAnsi="Arial" w:cs="Arial"/>
          <w:sz w:val="22"/>
          <w:szCs w:val="22"/>
        </w:rPr>
        <w:t>te</w:t>
      </w:r>
      <w:r w:rsidRPr="008A784D">
        <w:rPr>
          <w:rFonts w:ascii="Arial" w:hAnsi="Arial" w:cs="Arial"/>
          <w:sz w:val="22"/>
          <w:szCs w:val="22"/>
        </w:rPr>
        <w:t xml:space="preserve"> zveřejňované statistické údaje o zajišťovacích příkazech. </w:t>
      </w:r>
      <w:r w:rsidRPr="008A784D">
        <w:rPr>
          <w:rFonts w:ascii="Arial" w:hAnsi="Arial" w:cs="Arial"/>
          <w:sz w:val="22"/>
          <w:szCs w:val="22"/>
          <w:lang w:eastAsia="en-US"/>
        </w:rPr>
        <w:t>Veškerá další data k </w:t>
      </w:r>
      <w:r w:rsidRPr="008A784D">
        <w:rPr>
          <w:rFonts w:ascii="Arial" w:hAnsi="Arial" w:cs="Arial"/>
          <w:sz w:val="22"/>
          <w:szCs w:val="22"/>
        </w:rPr>
        <w:t>počtu a celkové částce vydaných rozhodnutí o zřízení zástavn</w:t>
      </w:r>
      <w:r>
        <w:rPr>
          <w:rFonts w:ascii="Arial" w:hAnsi="Arial" w:cs="Arial"/>
          <w:sz w:val="22"/>
          <w:szCs w:val="22"/>
        </w:rPr>
        <w:t>í</w:t>
      </w:r>
      <w:r w:rsidRPr="008A784D">
        <w:rPr>
          <w:rFonts w:ascii="Arial" w:hAnsi="Arial" w:cs="Arial"/>
          <w:sz w:val="22"/>
          <w:szCs w:val="22"/>
        </w:rPr>
        <w:t>ho práva správce daně za účelem zajištění nedoplatků na daních a </w:t>
      </w:r>
      <w:r>
        <w:rPr>
          <w:rFonts w:ascii="Arial" w:hAnsi="Arial" w:cs="Arial"/>
          <w:sz w:val="22"/>
          <w:szCs w:val="22"/>
        </w:rPr>
        <w:t>jejich</w:t>
      </w:r>
      <w:r w:rsidRPr="008A784D">
        <w:rPr>
          <w:rFonts w:ascii="Arial" w:hAnsi="Arial" w:cs="Arial"/>
          <w:sz w:val="22"/>
          <w:szCs w:val="22"/>
        </w:rPr>
        <w:t xml:space="preserve"> příslušenství </w:t>
      </w:r>
      <w:r>
        <w:rPr>
          <w:rFonts w:ascii="Arial" w:hAnsi="Arial" w:cs="Arial"/>
          <w:sz w:val="22"/>
          <w:szCs w:val="22"/>
        </w:rPr>
        <w:t xml:space="preserve">povinný subjekt </w:t>
      </w:r>
      <w:r w:rsidRPr="008A784D">
        <w:rPr>
          <w:rFonts w:ascii="Arial" w:hAnsi="Arial" w:cs="Arial"/>
          <w:sz w:val="22"/>
          <w:szCs w:val="22"/>
        </w:rPr>
        <w:t xml:space="preserve">uvádí </w:t>
      </w:r>
      <w:r>
        <w:rPr>
          <w:rFonts w:ascii="Arial" w:hAnsi="Arial" w:cs="Arial"/>
          <w:sz w:val="22"/>
          <w:szCs w:val="22"/>
        </w:rPr>
        <w:t>v  „</w:t>
      </w:r>
      <w:r w:rsidRPr="008A784D">
        <w:rPr>
          <w:rFonts w:ascii="Arial" w:hAnsi="Arial" w:cs="Arial"/>
          <w:sz w:val="22"/>
          <w:szCs w:val="22"/>
        </w:rPr>
        <w:t>Informace o činnosti Finanční správy ČR</w:t>
      </w:r>
      <w:r>
        <w:rPr>
          <w:rFonts w:ascii="Arial" w:hAnsi="Arial" w:cs="Arial"/>
          <w:sz w:val="22"/>
          <w:szCs w:val="22"/>
        </w:rPr>
        <w:t>“, konkrétně</w:t>
      </w:r>
      <w:r w:rsidRPr="008A784D">
        <w:rPr>
          <w:rFonts w:ascii="Arial" w:hAnsi="Arial" w:cs="Arial"/>
          <w:sz w:val="22"/>
          <w:szCs w:val="22"/>
        </w:rPr>
        <w:t xml:space="preserve"> v kapitole </w:t>
      </w:r>
      <w:r>
        <w:rPr>
          <w:rFonts w:ascii="Arial" w:hAnsi="Arial" w:cs="Arial"/>
          <w:sz w:val="22"/>
          <w:szCs w:val="22"/>
        </w:rPr>
        <w:t>týkající se</w:t>
      </w:r>
      <w:r w:rsidRPr="008A784D">
        <w:rPr>
          <w:rFonts w:ascii="Arial" w:hAnsi="Arial" w:cs="Arial"/>
          <w:sz w:val="22"/>
          <w:szCs w:val="22"/>
        </w:rPr>
        <w:t> zajištění a</w:t>
      </w:r>
      <w:r>
        <w:rPr>
          <w:rFonts w:ascii="Arial" w:hAnsi="Arial" w:cs="Arial"/>
          <w:sz w:val="22"/>
          <w:szCs w:val="22"/>
        </w:rPr>
        <w:t> </w:t>
      </w:r>
      <w:r w:rsidRPr="008A784D">
        <w:rPr>
          <w:rFonts w:ascii="Arial" w:hAnsi="Arial" w:cs="Arial"/>
          <w:sz w:val="22"/>
          <w:szCs w:val="22"/>
        </w:rPr>
        <w:t>vymáhání nedoplatků</w:t>
      </w:r>
      <w:r>
        <w:rPr>
          <w:rFonts w:ascii="Arial" w:hAnsi="Arial" w:cs="Arial"/>
          <w:sz w:val="22"/>
          <w:szCs w:val="22"/>
        </w:rPr>
        <w:t>,</w:t>
      </w:r>
      <w:r w:rsidRPr="008A78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kterou žadatel nalezne </w:t>
      </w:r>
      <w:r w:rsidRPr="008A784D">
        <w:rPr>
          <w:rFonts w:ascii="Arial" w:hAnsi="Arial" w:cs="Arial"/>
          <w:sz w:val="22"/>
          <w:szCs w:val="22"/>
        </w:rPr>
        <w:t xml:space="preserve">na odkazu </w:t>
      </w:r>
      <w:hyperlink r:id="rId5" w:history="1">
        <w:r w:rsidRPr="008A784D"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  <w:r w:rsidRPr="008A784D">
        <w:rPr>
          <w:rStyle w:val="Hypertextovodkaz"/>
          <w:rFonts w:ascii="Arial" w:hAnsi="Arial" w:cs="Arial"/>
          <w:sz w:val="22"/>
          <w:szCs w:val="22"/>
        </w:rPr>
        <w:t xml:space="preserve">. </w:t>
      </w:r>
    </w:p>
    <w:p w:rsidR="00000FC6" w:rsidRDefault="00000FC6" w:rsidP="00000FC6">
      <w:pPr>
        <w:spacing w:after="100" w:afterAutospacing="1" w:line="276" w:lineRule="auto"/>
        <w:jc w:val="both"/>
        <w:rPr>
          <w:rStyle w:val="Hypertextovodkaz"/>
          <w:rFonts w:ascii="Arial" w:hAnsi="Arial" w:cs="Arial"/>
          <w:sz w:val="22"/>
          <w:szCs w:val="22"/>
        </w:rPr>
      </w:pPr>
      <w:r w:rsidRPr="00DC7CC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níže </w:t>
      </w:r>
      <w:r w:rsidRPr="00DC7CCE">
        <w:rPr>
          <w:rFonts w:ascii="Arial" w:hAnsi="Arial" w:cs="Arial"/>
          <w:sz w:val="22"/>
          <w:szCs w:val="22"/>
        </w:rPr>
        <w:t>uvedené tabulce nalezne</w:t>
      </w:r>
      <w:r>
        <w:rPr>
          <w:rFonts w:ascii="Arial" w:hAnsi="Arial" w:cs="Arial"/>
          <w:sz w:val="22"/>
          <w:szCs w:val="22"/>
        </w:rPr>
        <w:t>te</w:t>
      </w:r>
      <w:r w:rsidRPr="00DC7CCE">
        <w:rPr>
          <w:rFonts w:ascii="Arial" w:hAnsi="Arial" w:cs="Arial"/>
          <w:sz w:val="22"/>
          <w:szCs w:val="22"/>
        </w:rPr>
        <w:t xml:space="preserve"> informace o počtu</w:t>
      </w:r>
      <w:r>
        <w:rPr>
          <w:rFonts w:ascii="Arial" w:hAnsi="Arial" w:cs="Arial"/>
          <w:sz w:val="22"/>
          <w:szCs w:val="22"/>
        </w:rPr>
        <w:t xml:space="preserve"> odvolání podaných proti zajišťovacím příkazům, které byly postoupeny na Odvolací finanční ředitelství. Nutno upozornit, že daný počet není roven počtu odvolatelů. </w:t>
      </w:r>
      <w:r w:rsidRPr="00DC7CCE">
        <w:rPr>
          <w:rFonts w:ascii="Arial" w:hAnsi="Arial" w:cs="Arial"/>
          <w:sz w:val="22"/>
          <w:szCs w:val="22"/>
        </w:rPr>
        <w:t xml:space="preserve">Za rozhodný </w:t>
      </w:r>
      <w:r>
        <w:rPr>
          <w:rFonts w:ascii="Arial" w:hAnsi="Arial" w:cs="Arial"/>
          <w:sz w:val="22"/>
          <w:szCs w:val="22"/>
        </w:rPr>
        <w:t>je považován</w:t>
      </w:r>
      <w:r w:rsidRPr="00DC7CCE">
        <w:rPr>
          <w:rFonts w:ascii="Arial" w:hAnsi="Arial" w:cs="Arial"/>
          <w:sz w:val="22"/>
          <w:szCs w:val="22"/>
        </w:rPr>
        <w:t xml:space="preserve"> rok, kdy odvolání bylo postoupeno odvolacímu orgánu</w:t>
      </w:r>
      <w:r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Barevntabulkasmkou6zvraznn6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6"/>
      </w:tblGrid>
      <w:tr w:rsidR="00000FC6" w:rsidRPr="00DC7CCE" w:rsidTr="003F3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000FC6" w:rsidRPr="00DC7CCE" w:rsidRDefault="00000FC6" w:rsidP="003F3C7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ROK</w:t>
            </w:r>
          </w:p>
        </w:tc>
        <w:tc>
          <w:tcPr>
            <w:tcW w:w="2265" w:type="dxa"/>
          </w:tcPr>
          <w:p w:rsidR="00000FC6" w:rsidRPr="00DC7CCE" w:rsidRDefault="00000FC6" w:rsidP="003F3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celkem</w:t>
            </w:r>
          </w:p>
        </w:tc>
        <w:tc>
          <w:tcPr>
            <w:tcW w:w="2266" w:type="dxa"/>
          </w:tcPr>
          <w:p w:rsidR="00000FC6" w:rsidRPr="00DC7CCE" w:rsidRDefault="00000FC6" w:rsidP="003F3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změna + jiné</w:t>
            </w:r>
          </w:p>
        </w:tc>
        <w:tc>
          <w:tcPr>
            <w:tcW w:w="2266" w:type="dxa"/>
          </w:tcPr>
          <w:p w:rsidR="00000FC6" w:rsidRPr="00DC7CCE" w:rsidRDefault="00000FC6" w:rsidP="003F3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zrušeno</w:t>
            </w:r>
          </w:p>
        </w:tc>
      </w:tr>
      <w:tr w:rsidR="00000FC6" w:rsidRPr="00DC7CCE" w:rsidTr="003F3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000FC6" w:rsidRPr="00DC7CCE" w:rsidRDefault="00000FC6" w:rsidP="003F3C7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2014</w:t>
            </w:r>
          </w:p>
        </w:tc>
        <w:tc>
          <w:tcPr>
            <w:tcW w:w="2265" w:type="dxa"/>
          </w:tcPr>
          <w:p w:rsidR="00000FC6" w:rsidRPr="00DC7CCE" w:rsidRDefault="00000FC6" w:rsidP="003F3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358</w:t>
            </w:r>
          </w:p>
        </w:tc>
        <w:tc>
          <w:tcPr>
            <w:tcW w:w="2266" w:type="dxa"/>
          </w:tcPr>
          <w:p w:rsidR="00000FC6" w:rsidRPr="00DC7CCE" w:rsidRDefault="00000FC6" w:rsidP="003F3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61</w:t>
            </w:r>
          </w:p>
        </w:tc>
        <w:tc>
          <w:tcPr>
            <w:tcW w:w="2266" w:type="dxa"/>
          </w:tcPr>
          <w:p w:rsidR="00000FC6" w:rsidRPr="00DC7CCE" w:rsidRDefault="00000FC6" w:rsidP="003F3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000FC6" w:rsidRPr="00DC7CCE" w:rsidTr="003F3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000FC6" w:rsidRPr="00DC7CCE" w:rsidRDefault="00000FC6" w:rsidP="003F3C7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2015</w:t>
            </w:r>
          </w:p>
        </w:tc>
        <w:tc>
          <w:tcPr>
            <w:tcW w:w="2265" w:type="dxa"/>
          </w:tcPr>
          <w:p w:rsidR="00000FC6" w:rsidRPr="00DC7CCE" w:rsidRDefault="00000FC6" w:rsidP="003F3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634</w:t>
            </w:r>
          </w:p>
        </w:tc>
        <w:tc>
          <w:tcPr>
            <w:tcW w:w="2266" w:type="dxa"/>
          </w:tcPr>
          <w:p w:rsidR="00000FC6" w:rsidRPr="00DC7CCE" w:rsidRDefault="00000FC6" w:rsidP="003F3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45</w:t>
            </w:r>
          </w:p>
        </w:tc>
        <w:tc>
          <w:tcPr>
            <w:tcW w:w="2266" w:type="dxa"/>
          </w:tcPr>
          <w:p w:rsidR="00000FC6" w:rsidRPr="00DC7CCE" w:rsidRDefault="00000FC6" w:rsidP="003F3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</w:tr>
      <w:tr w:rsidR="00000FC6" w:rsidRPr="00DC7CCE" w:rsidTr="003F3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000FC6" w:rsidRPr="00DC7CCE" w:rsidRDefault="00000FC6" w:rsidP="003F3C7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2016</w:t>
            </w:r>
          </w:p>
        </w:tc>
        <w:tc>
          <w:tcPr>
            <w:tcW w:w="2265" w:type="dxa"/>
          </w:tcPr>
          <w:p w:rsidR="00000FC6" w:rsidRPr="00DC7CCE" w:rsidRDefault="00000FC6" w:rsidP="003F3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788</w:t>
            </w:r>
          </w:p>
        </w:tc>
        <w:tc>
          <w:tcPr>
            <w:tcW w:w="2266" w:type="dxa"/>
          </w:tcPr>
          <w:p w:rsidR="00000FC6" w:rsidRPr="00DC7CCE" w:rsidRDefault="00000FC6" w:rsidP="003F3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2266" w:type="dxa"/>
          </w:tcPr>
          <w:p w:rsidR="00000FC6" w:rsidRPr="00DC7CCE" w:rsidRDefault="00000FC6" w:rsidP="003F3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</w:tr>
      <w:tr w:rsidR="00000FC6" w:rsidRPr="00DC7CCE" w:rsidTr="003F3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000FC6" w:rsidRPr="00DC7CCE" w:rsidRDefault="00000FC6" w:rsidP="003F3C7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2017</w:t>
            </w:r>
          </w:p>
        </w:tc>
        <w:tc>
          <w:tcPr>
            <w:tcW w:w="2265" w:type="dxa"/>
          </w:tcPr>
          <w:p w:rsidR="00000FC6" w:rsidRPr="00DC7CCE" w:rsidRDefault="00000FC6" w:rsidP="003F3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751</w:t>
            </w:r>
          </w:p>
        </w:tc>
        <w:tc>
          <w:tcPr>
            <w:tcW w:w="2266" w:type="dxa"/>
          </w:tcPr>
          <w:p w:rsidR="00000FC6" w:rsidRPr="00DC7CCE" w:rsidRDefault="00000FC6" w:rsidP="003F3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2266" w:type="dxa"/>
          </w:tcPr>
          <w:p w:rsidR="00000FC6" w:rsidRPr="00DC7CCE" w:rsidRDefault="00000FC6" w:rsidP="003F3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21</w:t>
            </w:r>
          </w:p>
        </w:tc>
      </w:tr>
      <w:tr w:rsidR="00000FC6" w:rsidRPr="00DC7CCE" w:rsidTr="003F3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000FC6" w:rsidRPr="00DC7CCE" w:rsidRDefault="00000FC6" w:rsidP="003F3C7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2018</w:t>
            </w:r>
          </w:p>
        </w:tc>
        <w:tc>
          <w:tcPr>
            <w:tcW w:w="2265" w:type="dxa"/>
          </w:tcPr>
          <w:p w:rsidR="00000FC6" w:rsidRPr="00DC7CCE" w:rsidRDefault="00000FC6" w:rsidP="003F3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436</w:t>
            </w:r>
          </w:p>
        </w:tc>
        <w:tc>
          <w:tcPr>
            <w:tcW w:w="2266" w:type="dxa"/>
          </w:tcPr>
          <w:p w:rsidR="00000FC6" w:rsidRPr="00DC7CCE" w:rsidRDefault="00000FC6" w:rsidP="003F3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266" w:type="dxa"/>
          </w:tcPr>
          <w:p w:rsidR="00000FC6" w:rsidRPr="00DC7CCE" w:rsidRDefault="00000FC6" w:rsidP="003F3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55</w:t>
            </w:r>
          </w:p>
        </w:tc>
      </w:tr>
      <w:tr w:rsidR="00000FC6" w:rsidRPr="00DC7CCE" w:rsidTr="003F3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000FC6" w:rsidRPr="00DC7CCE" w:rsidRDefault="00000FC6" w:rsidP="003F3C7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2019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(k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11.11.2019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2265" w:type="dxa"/>
          </w:tcPr>
          <w:p w:rsidR="00000FC6" w:rsidRPr="00DC7CCE" w:rsidRDefault="00000FC6" w:rsidP="003F3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707</w:t>
            </w:r>
          </w:p>
        </w:tc>
        <w:tc>
          <w:tcPr>
            <w:tcW w:w="2266" w:type="dxa"/>
          </w:tcPr>
          <w:p w:rsidR="00000FC6" w:rsidRPr="00DC7CCE" w:rsidRDefault="00000FC6" w:rsidP="003F3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2266" w:type="dxa"/>
          </w:tcPr>
          <w:p w:rsidR="00000FC6" w:rsidRPr="00DC7CCE" w:rsidRDefault="00000FC6" w:rsidP="003F3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7CCE">
              <w:rPr>
                <w:rFonts w:ascii="Arial" w:hAnsi="Arial" w:cs="Arial"/>
                <w:color w:val="auto"/>
                <w:sz w:val="22"/>
                <w:szCs w:val="22"/>
              </w:rPr>
              <w:t>90</w:t>
            </w:r>
          </w:p>
        </w:tc>
      </w:tr>
    </w:tbl>
    <w:p w:rsidR="00000FC6" w:rsidRDefault="00000FC6" w:rsidP="00000FC6">
      <w:pPr>
        <w:jc w:val="center"/>
      </w:pPr>
    </w:p>
    <w:p w:rsidR="00000FC6" w:rsidRPr="008A784D" w:rsidRDefault="00000FC6" w:rsidP="00000FC6">
      <w:pPr>
        <w:pStyle w:val="Prosttext"/>
        <w:spacing w:after="100" w:afterAutospacing="1" w:line="276" w:lineRule="auto"/>
        <w:jc w:val="both"/>
        <w:rPr>
          <w:rFonts w:ascii="Arial" w:hAnsi="Arial" w:cs="Arial"/>
          <w:szCs w:val="22"/>
        </w:rPr>
      </w:pPr>
      <w:r w:rsidRPr="008A784D">
        <w:rPr>
          <w:rFonts w:ascii="Arial" w:hAnsi="Arial" w:cs="Arial"/>
          <w:szCs w:val="22"/>
        </w:rPr>
        <w:t>Celková výše přiznaného úroku podle § 254 odst. 2 DŘ za období od roku 2014 do 12. 9. 2019 je 166 707 951,51 Kč. Náhrada škody daňovým subjektů podle zákona č. 82/1998 Sb. nebyla k datu vyř</w:t>
      </w:r>
      <w:r>
        <w:rPr>
          <w:rFonts w:ascii="Arial" w:hAnsi="Arial" w:cs="Arial"/>
          <w:szCs w:val="22"/>
        </w:rPr>
        <w:t>í</w:t>
      </w:r>
      <w:r w:rsidRPr="008A784D"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</w:rPr>
        <w:t>e</w:t>
      </w:r>
      <w:r w:rsidRPr="008A784D">
        <w:rPr>
          <w:rFonts w:ascii="Arial" w:hAnsi="Arial" w:cs="Arial"/>
          <w:szCs w:val="22"/>
        </w:rPr>
        <w:t xml:space="preserve">ní žádosti pravomocně přiznána. </w:t>
      </w:r>
    </w:p>
    <w:p w:rsidR="001F2702" w:rsidRDefault="001F2702" w:rsidP="00000FC6">
      <w:pPr>
        <w:spacing w:after="100" w:afterAutospacing="1" w:line="276" w:lineRule="auto"/>
        <w:jc w:val="both"/>
      </w:pPr>
    </w:p>
    <w:sectPr w:rsidR="001F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60"/>
    <w:rsid w:val="00000FC6"/>
    <w:rsid w:val="001F2702"/>
    <w:rsid w:val="0051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9FBF3-098D-4C3F-BE5D-BB44C6E6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11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000F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00FC6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000FC6"/>
    <w:rPr>
      <w:color w:val="0563C1" w:themeColor="hyperlink"/>
      <w:u w:val="single"/>
    </w:rPr>
  </w:style>
  <w:style w:type="table" w:styleId="Barevntabulkasmkou6zvraznn6">
    <w:name w:val="Grid Table 6 Colorful Accent 6"/>
    <w:basedOn w:val="Normlntabulka"/>
    <w:uiPriority w:val="51"/>
    <w:rsid w:val="00000FC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nancnisprava.cz/cs/financni-sprava/financni-sprava-cr/vyrocni-zpravy-a-souvisejici-dokumenty/2018" TargetMode="External"/><Relationship Id="rId4" Type="http://schemas.openxmlformats.org/officeDocument/2006/relationships/hyperlink" Target="https://www.financnisprava.cz/cs/financni-sprava/media-a-verejnost/zajistovaci-prikaz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2019-12-16T13:05:00Z</dcterms:created>
  <dcterms:modified xsi:type="dcterms:W3CDTF">2019-12-17T09:16:00Z</dcterms:modified>
</cp:coreProperties>
</file>