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B2A" w:rsidRPr="00AA3B2A" w:rsidRDefault="00AA3B2A" w:rsidP="00AA3B2A">
      <w:pPr>
        <w:spacing w:before="100" w:beforeAutospacing="1" w:after="100" w:afterAutospacing="1"/>
        <w:outlineLvl w:val="0"/>
        <w:rPr>
          <w:rFonts w:eastAsia="Times New Roman" w:cs="Arial"/>
          <w:b/>
          <w:bCs/>
          <w:kern w:val="36"/>
          <w:szCs w:val="22"/>
          <w:lang w:eastAsia="cs-CZ"/>
        </w:rPr>
      </w:pPr>
      <w:r w:rsidRPr="00AA3B2A">
        <w:rPr>
          <w:rFonts w:eastAsia="Times New Roman" w:cs="Arial"/>
          <w:b/>
          <w:bCs/>
          <w:kern w:val="36"/>
          <w:szCs w:val="22"/>
          <w:lang w:eastAsia="cs-CZ"/>
        </w:rPr>
        <w:t>Informace k možnosti požádat o posečkání úhrady daně popř. rozložení její úhrady na splátky (podle § 156 a § 157 zákona č. 280/2009 Sb., daňový řád</w:t>
      </w:r>
      <w:r w:rsidR="00CD7414">
        <w:rPr>
          <w:rFonts w:eastAsia="Times New Roman" w:cs="Arial"/>
          <w:b/>
          <w:bCs/>
          <w:kern w:val="36"/>
          <w:szCs w:val="22"/>
          <w:lang w:eastAsia="cs-CZ"/>
        </w:rPr>
        <w:t>, ve znění pozdějších předpisů</w:t>
      </w:r>
      <w:r w:rsidR="00FA6C69">
        <w:rPr>
          <w:rFonts w:eastAsia="Times New Roman" w:cs="Arial"/>
          <w:b/>
          <w:bCs/>
          <w:kern w:val="36"/>
          <w:szCs w:val="22"/>
          <w:lang w:eastAsia="cs-CZ"/>
        </w:rPr>
        <w:t>, dále jen „daňový řád“</w:t>
      </w:r>
      <w:r w:rsidRPr="00AA3B2A">
        <w:rPr>
          <w:rFonts w:eastAsia="Times New Roman" w:cs="Arial"/>
          <w:b/>
          <w:bCs/>
          <w:kern w:val="36"/>
          <w:szCs w:val="22"/>
          <w:lang w:eastAsia="cs-CZ"/>
        </w:rPr>
        <w:t>)</w:t>
      </w:r>
    </w:p>
    <w:p w:rsidR="00AA3B2A" w:rsidRDefault="00AA3B2A" w:rsidP="00AA3B2A">
      <w:pPr>
        <w:rPr>
          <w:rFonts w:eastAsia="Times New Roman" w:cs="Arial"/>
          <w:szCs w:val="22"/>
          <w:lang w:eastAsia="cs-CZ"/>
        </w:rPr>
      </w:pPr>
      <w:r w:rsidRPr="00AA3B2A">
        <w:rPr>
          <w:rFonts w:eastAsia="Times New Roman" w:cs="Arial"/>
          <w:szCs w:val="22"/>
          <w:lang w:eastAsia="cs-CZ"/>
        </w:rPr>
        <w:t xml:space="preserve">příloha k materiálu </w:t>
      </w:r>
      <w:r w:rsidR="00083D58">
        <w:rPr>
          <w:rFonts w:eastAsia="Times New Roman" w:cs="Arial"/>
          <w:szCs w:val="22"/>
          <w:lang w:eastAsia="cs-CZ"/>
        </w:rPr>
        <w:t>„</w:t>
      </w:r>
      <w:r w:rsidR="00083D58" w:rsidRPr="00083D58">
        <w:rPr>
          <w:rFonts w:eastAsia="Times New Roman" w:cs="Arial"/>
          <w:szCs w:val="22"/>
          <w:u w:val="single"/>
          <w:lang w:eastAsia="cs-CZ"/>
        </w:rPr>
        <w:t>Informace k aplikaci zákonného opatření Senátu č. 340/2013 Sb., o dani z nabytí nemovitých věcí, ve znění pozdějších předpisů (dále jen „zákonné opatření“), v</w:t>
      </w:r>
      <w:r w:rsidR="00A0674C">
        <w:rPr>
          <w:rFonts w:eastAsia="Times New Roman" w:cs="Arial"/>
          <w:szCs w:val="22"/>
          <w:u w:val="single"/>
          <w:lang w:eastAsia="cs-CZ"/>
        </w:rPr>
        <w:t> </w:t>
      </w:r>
      <w:r w:rsidR="00083D58" w:rsidRPr="00083D58">
        <w:rPr>
          <w:rFonts w:eastAsia="Times New Roman" w:cs="Arial"/>
          <w:szCs w:val="22"/>
          <w:u w:val="single"/>
          <w:lang w:eastAsia="cs-CZ"/>
        </w:rPr>
        <w:t>případě nabytí vlastnického práva k bytové jednotce v rodinném domě</w:t>
      </w:r>
      <w:r w:rsidR="00083D58">
        <w:rPr>
          <w:rFonts w:eastAsia="Times New Roman" w:cs="Arial"/>
          <w:szCs w:val="22"/>
          <w:u w:val="single"/>
          <w:lang w:eastAsia="cs-CZ"/>
        </w:rPr>
        <w:t>“</w:t>
      </w:r>
    </w:p>
    <w:p w:rsidR="00AA3B2A" w:rsidRPr="00AA3B2A" w:rsidRDefault="00AA3B2A" w:rsidP="00AA3B2A">
      <w:pPr>
        <w:rPr>
          <w:rFonts w:eastAsia="Times New Roman" w:cs="Arial"/>
          <w:szCs w:val="22"/>
          <w:lang w:eastAsia="cs-CZ"/>
        </w:rPr>
      </w:pPr>
    </w:p>
    <w:p w:rsidR="00AA3B2A" w:rsidRPr="00AA3B2A" w:rsidRDefault="00AA3B2A" w:rsidP="00AA3B2A">
      <w:pPr>
        <w:rPr>
          <w:rFonts w:eastAsia="Times New Roman" w:cs="Arial"/>
          <w:szCs w:val="22"/>
          <w:lang w:eastAsia="cs-CZ"/>
        </w:rPr>
      </w:pPr>
      <w:r w:rsidRPr="00AA3B2A">
        <w:rPr>
          <w:rFonts w:eastAsia="Times New Roman" w:cs="Arial"/>
          <w:szCs w:val="22"/>
          <w:lang w:eastAsia="cs-CZ"/>
        </w:rPr>
        <w:t>Daňový subjekt může z důvodu tíživé sociální či ekonomické situace požádat správce daně o posečkání úhrady daně</w:t>
      </w:r>
      <w:r w:rsidR="00F85E17">
        <w:rPr>
          <w:rFonts w:eastAsia="Times New Roman" w:cs="Arial"/>
          <w:szCs w:val="22"/>
          <w:lang w:eastAsia="cs-CZ"/>
        </w:rPr>
        <w:t>,</w:t>
      </w:r>
      <w:r w:rsidRPr="00AA3B2A">
        <w:rPr>
          <w:rFonts w:eastAsia="Times New Roman" w:cs="Arial"/>
          <w:szCs w:val="22"/>
          <w:lang w:eastAsia="cs-CZ"/>
        </w:rPr>
        <w:t xml:space="preserve"> popř. její rozložení na splátky.</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Správce daně může povolit posečkání z následujících důvodů:</w:t>
      </w:r>
    </w:p>
    <w:p w:rsidR="00AA3B2A" w:rsidRPr="00AA3B2A" w:rsidRDefault="00AA3B2A" w:rsidP="00AA3B2A">
      <w:pPr>
        <w:numPr>
          <w:ilvl w:val="0"/>
          <w:numId w:val="1"/>
        </w:numPr>
        <w:spacing w:before="100" w:beforeAutospacing="1" w:after="100" w:afterAutospacing="1"/>
        <w:rPr>
          <w:rFonts w:eastAsia="Times New Roman" w:cs="Arial"/>
          <w:szCs w:val="22"/>
          <w:lang w:eastAsia="cs-CZ"/>
        </w:rPr>
      </w:pPr>
      <w:r w:rsidRPr="00AA3B2A">
        <w:rPr>
          <w:rFonts w:eastAsia="Times New Roman" w:cs="Arial"/>
          <w:szCs w:val="22"/>
          <w:lang w:eastAsia="cs-CZ"/>
        </w:rPr>
        <w:t>pokud by neprodlená úhrada znamenala pro daňový subjekt vážnou újmu,</w:t>
      </w:r>
    </w:p>
    <w:p w:rsidR="00AA3B2A" w:rsidRPr="00AA3B2A" w:rsidRDefault="00AA3B2A" w:rsidP="00AA3B2A">
      <w:pPr>
        <w:numPr>
          <w:ilvl w:val="0"/>
          <w:numId w:val="1"/>
        </w:numPr>
        <w:spacing w:before="100" w:beforeAutospacing="1" w:after="100" w:afterAutospacing="1"/>
        <w:rPr>
          <w:rFonts w:eastAsia="Times New Roman" w:cs="Arial"/>
          <w:szCs w:val="22"/>
          <w:lang w:eastAsia="cs-CZ"/>
        </w:rPr>
      </w:pPr>
      <w:r w:rsidRPr="00AA3B2A">
        <w:rPr>
          <w:rFonts w:eastAsia="Times New Roman" w:cs="Arial"/>
          <w:szCs w:val="22"/>
          <w:lang w:eastAsia="cs-CZ"/>
        </w:rPr>
        <w:t>pokud by byla ohrožena výživa daňového subjektu nebo osob na jeho výživu odkázaných,</w:t>
      </w:r>
    </w:p>
    <w:p w:rsidR="00AA3B2A" w:rsidRPr="00AA3B2A" w:rsidRDefault="00AA3B2A" w:rsidP="00AA3B2A">
      <w:pPr>
        <w:numPr>
          <w:ilvl w:val="0"/>
          <w:numId w:val="1"/>
        </w:numPr>
        <w:spacing w:before="100" w:beforeAutospacing="1" w:after="100" w:afterAutospacing="1"/>
        <w:rPr>
          <w:rFonts w:eastAsia="Times New Roman" w:cs="Arial"/>
          <w:szCs w:val="22"/>
          <w:lang w:eastAsia="cs-CZ"/>
        </w:rPr>
      </w:pPr>
      <w:r w:rsidRPr="00AA3B2A">
        <w:rPr>
          <w:rFonts w:eastAsia="Times New Roman" w:cs="Arial"/>
          <w:szCs w:val="22"/>
          <w:lang w:eastAsia="cs-CZ"/>
        </w:rPr>
        <w:t>pokud by neprodlená úhrada vedla k zániku podnikání daňového subjektu, přičemž výnos z ukončení podnikání by byl pravděpodobně nižší než jím vytvořená daň v</w:t>
      </w:r>
      <w:r w:rsidR="00CD005B">
        <w:rPr>
          <w:rFonts w:eastAsia="Times New Roman" w:cs="Arial"/>
          <w:szCs w:val="22"/>
          <w:lang w:eastAsia="cs-CZ"/>
        </w:rPr>
        <w:t> </w:t>
      </w:r>
      <w:r w:rsidRPr="00AA3B2A">
        <w:rPr>
          <w:rFonts w:eastAsia="Times New Roman" w:cs="Arial"/>
          <w:szCs w:val="22"/>
          <w:lang w:eastAsia="cs-CZ"/>
        </w:rPr>
        <w:t>příštím zdaňovacím období,</w:t>
      </w:r>
    </w:p>
    <w:p w:rsidR="00AA3B2A" w:rsidRPr="00AA3B2A" w:rsidRDefault="00AA3B2A" w:rsidP="00AA3B2A">
      <w:pPr>
        <w:numPr>
          <w:ilvl w:val="0"/>
          <w:numId w:val="1"/>
        </w:numPr>
        <w:spacing w:before="100" w:beforeAutospacing="1" w:after="100" w:afterAutospacing="1"/>
        <w:rPr>
          <w:rFonts w:eastAsia="Times New Roman" w:cs="Arial"/>
          <w:szCs w:val="22"/>
          <w:lang w:eastAsia="cs-CZ"/>
        </w:rPr>
      </w:pPr>
      <w:r w:rsidRPr="00AA3B2A">
        <w:rPr>
          <w:rFonts w:eastAsia="Times New Roman" w:cs="Arial"/>
          <w:szCs w:val="22"/>
          <w:lang w:eastAsia="cs-CZ"/>
        </w:rPr>
        <w:t>není-li možné vybrat daň od daňového subjektu najednou, nebo</w:t>
      </w:r>
    </w:p>
    <w:p w:rsidR="00AA3B2A" w:rsidRPr="00AA3B2A" w:rsidRDefault="00AA3B2A" w:rsidP="00AA3B2A">
      <w:pPr>
        <w:numPr>
          <w:ilvl w:val="0"/>
          <w:numId w:val="1"/>
        </w:numPr>
        <w:spacing w:before="100" w:beforeAutospacing="1" w:after="100" w:afterAutospacing="1"/>
        <w:rPr>
          <w:rFonts w:eastAsia="Times New Roman" w:cs="Arial"/>
          <w:szCs w:val="22"/>
          <w:lang w:eastAsia="cs-CZ"/>
        </w:rPr>
      </w:pPr>
      <w:r w:rsidRPr="00AA3B2A">
        <w:rPr>
          <w:rFonts w:eastAsia="Times New Roman" w:cs="Arial"/>
          <w:szCs w:val="22"/>
          <w:lang w:eastAsia="cs-CZ"/>
        </w:rPr>
        <w:t xml:space="preserve">při důvodném očekávání částečného nebo úplného zániku povinnosti uhradit daň.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Na žádost o posečkání podle § 156 daňového řádu </w:t>
      </w:r>
      <w:r w:rsidRPr="00AA3B2A">
        <w:rPr>
          <w:rFonts w:eastAsia="Times New Roman" w:cs="Arial"/>
          <w:szCs w:val="22"/>
          <w:u w:val="single"/>
          <w:lang w:eastAsia="cs-CZ"/>
        </w:rPr>
        <w:t>neexistuje speciální tiskopis</w:t>
      </w:r>
      <w:r w:rsidRPr="00AA3B2A">
        <w:rPr>
          <w:rFonts w:eastAsia="Times New Roman" w:cs="Arial"/>
          <w:szCs w:val="22"/>
          <w:lang w:eastAsia="cs-CZ"/>
        </w:rPr>
        <w:t>, tzn., že se jedná o podání, u kterých daňový řád nepředpokládá konkrétní formu. Jako každé jiné podání vůči správci daně musí však i toto podání splňovat požadavky uvedené v § 70 daňového řádu, především pak z podání musí být zřejmé: kdo je činí, čeho se týká a co se navrhuje.</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Žádost jakožto podání lze učinit následujícími způsoby (§ 71 odst. 1 daňového řádu):</w:t>
      </w:r>
    </w:p>
    <w:p w:rsidR="00AA3B2A" w:rsidRPr="00A0674C" w:rsidRDefault="00AA3B2A" w:rsidP="00A0674C">
      <w:pPr>
        <w:pStyle w:val="Odstavecseseznamem"/>
        <w:numPr>
          <w:ilvl w:val="0"/>
          <w:numId w:val="2"/>
        </w:numPr>
        <w:rPr>
          <w:rFonts w:eastAsia="Times New Roman" w:cs="Arial"/>
          <w:szCs w:val="22"/>
          <w:lang w:eastAsia="cs-CZ"/>
        </w:rPr>
      </w:pPr>
      <w:r w:rsidRPr="00A0674C">
        <w:rPr>
          <w:rFonts w:eastAsia="Times New Roman" w:cs="Arial"/>
          <w:szCs w:val="22"/>
          <w:lang w:eastAsia="cs-CZ"/>
        </w:rPr>
        <w:t>písemně,</w:t>
      </w:r>
    </w:p>
    <w:p w:rsidR="00AA3B2A" w:rsidRPr="00A0674C" w:rsidRDefault="00AA3B2A" w:rsidP="00A0674C">
      <w:pPr>
        <w:pStyle w:val="Odstavecseseznamem"/>
        <w:numPr>
          <w:ilvl w:val="0"/>
          <w:numId w:val="2"/>
        </w:numPr>
        <w:rPr>
          <w:rFonts w:eastAsia="Times New Roman" w:cs="Arial"/>
          <w:szCs w:val="22"/>
          <w:lang w:eastAsia="cs-CZ"/>
        </w:rPr>
      </w:pPr>
      <w:r w:rsidRPr="00A0674C">
        <w:rPr>
          <w:rFonts w:eastAsia="Times New Roman" w:cs="Arial"/>
          <w:szCs w:val="22"/>
          <w:lang w:eastAsia="cs-CZ"/>
        </w:rPr>
        <w:t>ústně do protokolu,</w:t>
      </w:r>
    </w:p>
    <w:p w:rsidR="00AA3B2A" w:rsidRPr="00A0674C" w:rsidRDefault="00AA3B2A" w:rsidP="00A0674C">
      <w:pPr>
        <w:pStyle w:val="Odstavecseseznamem"/>
        <w:numPr>
          <w:ilvl w:val="0"/>
          <w:numId w:val="2"/>
        </w:numPr>
        <w:rPr>
          <w:rFonts w:eastAsia="Times New Roman" w:cs="Arial"/>
          <w:szCs w:val="22"/>
          <w:lang w:eastAsia="cs-CZ"/>
        </w:rPr>
      </w:pPr>
      <w:r w:rsidRPr="00A0674C">
        <w:rPr>
          <w:rFonts w:eastAsia="Times New Roman" w:cs="Arial"/>
          <w:szCs w:val="22"/>
          <w:lang w:eastAsia="cs-CZ"/>
        </w:rPr>
        <w:t>datovou zprávou podepsanou způsobem, se kterým jiný právní předpis spojuje účinky vlastnoručního podpisu,</w:t>
      </w:r>
    </w:p>
    <w:p w:rsidR="00AA3B2A" w:rsidRPr="00A0674C" w:rsidRDefault="00AA3B2A" w:rsidP="00A0674C">
      <w:pPr>
        <w:pStyle w:val="Odstavecseseznamem"/>
        <w:numPr>
          <w:ilvl w:val="0"/>
          <w:numId w:val="2"/>
        </w:numPr>
        <w:rPr>
          <w:rFonts w:eastAsia="Times New Roman" w:cs="Arial"/>
          <w:szCs w:val="22"/>
          <w:lang w:eastAsia="cs-CZ"/>
        </w:rPr>
      </w:pPr>
      <w:r w:rsidRPr="00A0674C">
        <w:rPr>
          <w:rFonts w:eastAsia="Times New Roman" w:cs="Arial"/>
          <w:szCs w:val="22"/>
          <w:lang w:eastAsia="cs-CZ"/>
        </w:rPr>
        <w:t>datovou zprávou s ověřenou identitou podatele způsobem, kterým se lze přihlásit do jeho datové schránky.</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Pro činění podání vůči správci daně elektronicky lze využít buď datovou schránku nebo společné technické zařízení správců daně, kterým je aplikace EPO (aplikace Elektronické podání pro Finanční správu), dostupná na adrese </w:t>
      </w:r>
      <w:hyperlink r:id="rId5" w:history="1">
        <w:r w:rsidRPr="00AA3B2A">
          <w:rPr>
            <w:rFonts w:eastAsia="Times New Roman" w:cs="Arial"/>
            <w:color w:val="0000FF"/>
            <w:szCs w:val="22"/>
            <w:u w:val="single"/>
            <w:lang w:eastAsia="cs-CZ"/>
          </w:rPr>
          <w:t>www.daneelektronicky.cz</w:t>
        </w:r>
      </w:hyperlink>
      <w:r w:rsidRPr="00AA3B2A">
        <w:rPr>
          <w:rFonts w:eastAsia="Times New Roman" w:cs="Arial"/>
          <w:szCs w:val="22"/>
          <w:lang w:eastAsia="cs-CZ"/>
        </w:rPr>
        <w:t xml:space="preserve">. </w:t>
      </w:r>
    </w:p>
    <w:p w:rsidR="00AA3B2A" w:rsidRPr="00AA3B2A" w:rsidRDefault="00AA3B2A" w:rsidP="00C573BE">
      <w:pPr>
        <w:spacing w:before="100" w:beforeAutospacing="1" w:after="100" w:afterAutospacing="1"/>
        <w:rPr>
          <w:rFonts w:eastAsia="Times New Roman" w:cs="Arial"/>
          <w:szCs w:val="22"/>
          <w:lang w:eastAsia="cs-CZ"/>
        </w:rPr>
      </w:pPr>
      <w:r w:rsidRPr="00AA3B2A">
        <w:rPr>
          <w:rFonts w:eastAsia="Times New Roman" w:cs="Arial"/>
          <w:szCs w:val="22"/>
          <w:lang w:eastAsia="cs-CZ"/>
        </w:rPr>
        <w:t xml:space="preserve">Žádost se podává nebo doručuje na </w:t>
      </w:r>
      <w:r w:rsidR="00C573BE">
        <w:rPr>
          <w:rFonts w:eastAsia="Times New Roman" w:cs="Arial"/>
          <w:szCs w:val="22"/>
          <w:lang w:eastAsia="cs-CZ"/>
        </w:rPr>
        <w:t xml:space="preserve">místně </w:t>
      </w:r>
      <w:r w:rsidRPr="00AA3B2A">
        <w:rPr>
          <w:rFonts w:eastAsia="Times New Roman" w:cs="Arial"/>
          <w:szCs w:val="22"/>
          <w:lang w:eastAsia="cs-CZ"/>
        </w:rPr>
        <w:t>příslušný finanční úřad</w:t>
      </w:r>
      <w:r w:rsidR="00C573BE">
        <w:rPr>
          <w:rFonts w:eastAsia="Times New Roman" w:cs="Arial"/>
          <w:szCs w:val="22"/>
          <w:lang w:eastAsia="cs-CZ"/>
        </w:rPr>
        <w:t>, v jehož obvodu územní půs</w:t>
      </w:r>
      <w:r w:rsidR="00F85E17">
        <w:rPr>
          <w:rFonts w:eastAsia="Times New Roman" w:cs="Arial"/>
          <w:szCs w:val="22"/>
          <w:lang w:eastAsia="cs-CZ"/>
        </w:rPr>
        <w:t>obnosti se nachází nemovitá věc</w:t>
      </w:r>
      <w:bookmarkStart w:id="0" w:name="_GoBack"/>
      <w:bookmarkEnd w:id="0"/>
      <w:r w:rsidR="00C573BE">
        <w:rPr>
          <w:rFonts w:eastAsia="Times New Roman" w:cs="Arial"/>
          <w:szCs w:val="22"/>
          <w:lang w:eastAsia="cs-CZ"/>
        </w:rPr>
        <w:t xml:space="preserve">, u níž dochází k nabytí vlastnického práva. </w:t>
      </w:r>
      <w:r w:rsidR="00C573BE" w:rsidRPr="00ED35C4">
        <w:rPr>
          <w:rFonts w:eastAsia="Times New Roman" w:cs="Arial"/>
          <w:szCs w:val="22"/>
          <w:lang w:eastAsia="cs-CZ"/>
        </w:rPr>
        <w:t xml:space="preserve">(§ </w:t>
      </w:r>
      <w:r w:rsidR="00C573BE">
        <w:rPr>
          <w:rFonts w:eastAsia="Times New Roman" w:cs="Arial"/>
          <w:szCs w:val="22"/>
          <w:lang w:eastAsia="cs-CZ"/>
        </w:rPr>
        <w:t>29</w:t>
      </w:r>
      <w:r w:rsidR="00C573BE" w:rsidRPr="00C573BE">
        <w:rPr>
          <w:rFonts w:eastAsia="Times New Roman" w:cs="Arial"/>
          <w:szCs w:val="22"/>
          <w:u w:val="single"/>
          <w:lang w:eastAsia="cs-CZ"/>
        </w:rPr>
        <w:t xml:space="preserve"> </w:t>
      </w:r>
      <w:r w:rsidR="00C573BE" w:rsidRPr="00C573BE">
        <w:rPr>
          <w:rFonts w:eastAsia="Times New Roman" w:cs="Arial"/>
          <w:szCs w:val="22"/>
          <w:lang w:eastAsia="cs-CZ"/>
        </w:rPr>
        <w:t>zákonného opatření Senátu č. 340/2013 Sb., o dani z nabytí nemovitých věcí, ve znění pozdějších předpisů</w:t>
      </w:r>
      <w:r w:rsidR="00C573BE" w:rsidRPr="00ED35C4">
        <w:rPr>
          <w:rFonts w:eastAsia="Times New Roman" w:cs="Arial"/>
          <w:szCs w:val="22"/>
          <w:lang w:eastAsia="cs-CZ"/>
        </w:rPr>
        <w:t>)</w:t>
      </w:r>
      <w:r w:rsidR="008C4CD1">
        <w:rPr>
          <w:rFonts w:eastAsia="Times New Roman" w:cs="Arial"/>
          <w:szCs w:val="22"/>
          <w:lang w:eastAsia="cs-CZ"/>
        </w:rPr>
        <w:t>.</w:t>
      </w:r>
      <w:r w:rsidRPr="00AA3B2A">
        <w:rPr>
          <w:rFonts w:eastAsia="Times New Roman" w:cs="Arial"/>
          <w:szCs w:val="22"/>
          <w:lang w:eastAsia="cs-CZ"/>
        </w:rPr>
        <w:t xml:space="preserve"> </w:t>
      </w:r>
      <w:r w:rsidR="00C573BE" w:rsidRPr="00ED35C4">
        <w:rPr>
          <w:rFonts w:eastAsia="Times New Roman" w:cs="Arial"/>
          <w:szCs w:val="22"/>
          <w:lang w:eastAsia="cs-CZ"/>
        </w:rPr>
        <w:t xml:space="preserve">V rámci místně příslušného finančního úřadu je pak spis k daním jednotlivých daňových subjektů umístěn na územním pracovišti tohoto finančního úřadu podle pravidel obsažených v pokynu GFŘ-D-23, jehož znění lze nalézt ve </w:t>
      </w:r>
      <w:hyperlink r:id="rId6" w:tooltip="FZ 1/2016" w:history="1">
        <w:r w:rsidR="00C573BE" w:rsidRPr="00ED35C4">
          <w:rPr>
            <w:rFonts w:eastAsia="Times New Roman" w:cs="Arial"/>
            <w:color w:val="0000FF"/>
            <w:szCs w:val="22"/>
            <w:u w:val="single"/>
            <w:lang w:eastAsia="cs-CZ"/>
          </w:rPr>
          <w:t>Finančním zpravodaji č. 1/2016</w:t>
        </w:r>
      </w:hyperlink>
      <w:r w:rsidR="00C573BE" w:rsidRPr="00ED35C4">
        <w:rPr>
          <w:rFonts w:eastAsia="Times New Roman" w:cs="Arial"/>
          <w:szCs w:val="22"/>
          <w:lang w:eastAsia="cs-CZ"/>
        </w:rPr>
        <w:t>. Žádost však lze podat na jakémkoliv územním pracovišti finančního úřadu.</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Při rozhodování o žádosti vychází správce daně převážně </w:t>
      </w:r>
      <w:r w:rsidRPr="00AA3B2A">
        <w:rPr>
          <w:rFonts w:eastAsia="Times New Roman" w:cs="Arial"/>
          <w:szCs w:val="22"/>
          <w:u w:val="single"/>
          <w:lang w:eastAsia="cs-CZ"/>
        </w:rPr>
        <w:t>z tvrzení a důvodů uváděných daňovým subjektem, proto je do žádosti nutné uvést všechny relevantní skutečnosti</w:t>
      </w:r>
      <w:r w:rsidRPr="00AA3B2A">
        <w:rPr>
          <w:rFonts w:eastAsia="Times New Roman" w:cs="Arial"/>
          <w:szCs w:val="22"/>
          <w:lang w:eastAsia="cs-CZ"/>
        </w:rPr>
        <w:t xml:space="preserve"> mající vliv na neschopnost uhradit daň v dané výši najednou (v případě sociálních důvodů u</w:t>
      </w:r>
      <w:r w:rsidR="00CD005B">
        <w:rPr>
          <w:rFonts w:eastAsia="Times New Roman" w:cs="Arial"/>
          <w:szCs w:val="22"/>
          <w:lang w:eastAsia="cs-CZ"/>
        </w:rPr>
        <w:t> </w:t>
      </w:r>
      <w:r w:rsidRPr="00AA3B2A">
        <w:rPr>
          <w:rFonts w:eastAsia="Times New Roman" w:cs="Arial"/>
          <w:szCs w:val="22"/>
          <w:lang w:eastAsia="cs-CZ"/>
        </w:rPr>
        <w:t xml:space="preserve">fyzických osob to může být uvedení příjmu, povinných pravidelných nákladů včetně povinnosti vyživovat další osoby, apod.).  Již k samotné žádosti je třeba </w:t>
      </w:r>
      <w:r w:rsidRPr="00AA3B2A">
        <w:rPr>
          <w:rFonts w:eastAsia="Times New Roman" w:cs="Arial"/>
          <w:szCs w:val="22"/>
          <w:u w:val="single"/>
          <w:lang w:eastAsia="cs-CZ"/>
        </w:rPr>
        <w:t>přiložit všechny doklady a důkazní prostředky</w:t>
      </w:r>
      <w:r w:rsidRPr="00AA3B2A">
        <w:rPr>
          <w:rFonts w:eastAsia="Times New Roman" w:cs="Arial"/>
          <w:szCs w:val="22"/>
          <w:lang w:eastAsia="cs-CZ"/>
        </w:rPr>
        <w:t xml:space="preserve">, které podporují tvrzení a důvody v žádosti uváděné.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lastRenderedPageBreak/>
        <w:t xml:space="preserve">Správce </w:t>
      </w:r>
      <w:r w:rsidR="000277E9">
        <w:rPr>
          <w:rFonts w:eastAsia="Times New Roman" w:cs="Arial"/>
          <w:szCs w:val="22"/>
          <w:lang w:eastAsia="cs-CZ"/>
        </w:rPr>
        <w:t xml:space="preserve">daně </w:t>
      </w:r>
      <w:r w:rsidRPr="00AA3B2A">
        <w:rPr>
          <w:rFonts w:eastAsia="Times New Roman" w:cs="Arial"/>
          <w:szCs w:val="22"/>
          <w:lang w:eastAsia="cs-CZ"/>
        </w:rPr>
        <w:t xml:space="preserve">v rámci rozhodování o žádosti o posečkání posuzuje kromě jiného, i zda není ohroženo budoucí vybrání posečkané daně, proto je nutné k žádosti </w:t>
      </w:r>
      <w:r w:rsidRPr="00AA3B2A">
        <w:rPr>
          <w:rFonts w:eastAsia="Times New Roman" w:cs="Arial"/>
          <w:szCs w:val="22"/>
          <w:u w:val="single"/>
          <w:lang w:eastAsia="cs-CZ"/>
        </w:rPr>
        <w:t>doložit i způsob a</w:t>
      </w:r>
      <w:r w:rsidR="00CD005B">
        <w:rPr>
          <w:rFonts w:eastAsia="Times New Roman" w:cs="Arial"/>
          <w:szCs w:val="22"/>
          <w:u w:val="single"/>
          <w:lang w:eastAsia="cs-CZ"/>
        </w:rPr>
        <w:t> </w:t>
      </w:r>
      <w:r w:rsidRPr="00AA3B2A">
        <w:rPr>
          <w:rFonts w:eastAsia="Times New Roman" w:cs="Arial"/>
          <w:szCs w:val="22"/>
          <w:u w:val="single"/>
          <w:lang w:eastAsia="cs-CZ"/>
        </w:rPr>
        <w:t>prostředky, ze kterých bude v budoucnu daň uhrazena</w:t>
      </w:r>
      <w:r w:rsidR="004405FE">
        <w:rPr>
          <w:rFonts w:eastAsia="Times New Roman" w:cs="Arial"/>
          <w:szCs w:val="22"/>
          <w:u w:val="single"/>
          <w:lang w:eastAsia="cs-CZ"/>
        </w:rPr>
        <w:t>.</w:t>
      </w:r>
      <w:r w:rsidRPr="00AA3B2A">
        <w:rPr>
          <w:rFonts w:eastAsia="Times New Roman" w:cs="Arial"/>
          <w:szCs w:val="22"/>
          <w:lang w:eastAsia="cs-CZ"/>
        </w:rPr>
        <w:t xml:space="preserve">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Součástí žádosti by měl být i návrh splátkového kalendáře, tzn. návrh výše jednotlivých splátek včetně jejich časového rozložení. Bude-li o žádosti rozhodnuto kladně, pak zároveň upozorňujeme na nutnost dodržení podmínek stanovených v rozhodnutí, mezi které patří i dodržení jednotlivých splátek. Pokud by došlo k porušení podmínek, pozbývá toto rozhodnutí ode dne nedodržení některé z podmínek účinnosti.</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Při rozhodování o žádosti o posečkání postupuje správce daně v souladu s Metodickým pokynem k posečkání, který je rovněž zveřejněn na internetových stránkách Generálního finančního ředitelství (</w:t>
      </w:r>
      <w:hyperlink r:id="rId7" w:history="1">
        <w:r w:rsidRPr="00AA3B2A">
          <w:rPr>
            <w:rFonts w:eastAsia="Times New Roman" w:cs="Arial"/>
            <w:color w:val="0000FF"/>
            <w:szCs w:val="22"/>
            <w:u w:val="single"/>
            <w:lang w:eastAsia="cs-CZ"/>
          </w:rPr>
          <w:t>http://www.financnisprava.cz/assets/cs/prilohy/d-sprava-dani-a-poplatku/2015-Metodicky-pokyn-k-poseckani.pdf</w:t>
        </w:r>
      </w:hyperlink>
      <w:r w:rsidRPr="00AA3B2A">
        <w:rPr>
          <w:rFonts w:eastAsia="Times New Roman" w:cs="Arial"/>
          <w:szCs w:val="22"/>
          <w:lang w:eastAsia="cs-CZ"/>
        </w:rPr>
        <w:t>)</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Podle </w:t>
      </w:r>
      <w:hyperlink r:id="rId8" w:history="1">
        <w:r w:rsidRPr="00AA3B2A">
          <w:rPr>
            <w:rFonts w:eastAsia="Times New Roman" w:cs="Arial"/>
            <w:color w:val="0000FF"/>
            <w:szCs w:val="22"/>
            <w:u w:val="single"/>
            <w:lang w:eastAsia="cs-CZ"/>
          </w:rPr>
          <w:t>položky 1, bodu 1 písm. d) sazebníku, který je přílohou k zákonu č. 634/2004 Sb., o</w:t>
        </w:r>
        <w:r w:rsidR="00A0674C">
          <w:rPr>
            <w:rFonts w:eastAsia="Times New Roman" w:cs="Arial"/>
            <w:color w:val="0000FF"/>
            <w:szCs w:val="22"/>
            <w:u w:val="single"/>
            <w:lang w:eastAsia="cs-CZ"/>
          </w:rPr>
          <w:t> </w:t>
        </w:r>
        <w:r w:rsidRPr="00AA3B2A">
          <w:rPr>
            <w:rFonts w:eastAsia="Times New Roman" w:cs="Arial"/>
            <w:color w:val="0000FF"/>
            <w:szCs w:val="22"/>
            <w:u w:val="single"/>
            <w:lang w:eastAsia="cs-CZ"/>
          </w:rPr>
          <w:t>správních poplatcích, ve znění pozdějších předpisů</w:t>
        </w:r>
      </w:hyperlink>
      <w:r w:rsidRPr="00AA3B2A">
        <w:rPr>
          <w:rFonts w:eastAsia="Times New Roman" w:cs="Arial"/>
          <w:szCs w:val="22"/>
          <w:lang w:eastAsia="cs-CZ"/>
        </w:rPr>
        <w:t xml:space="preserve">, přijetí žádosti o povolení posečkání daně nebo o povolení jejího zaplacení ve splátkách podléhá správnímu poplatku ve výši 400 Kč.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Poplatek lze uhradit např. vylepením kolkové známky na žádost či v hotovosti na pokladně územního pracoviště příslušného finančního úřadu.</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w:t>
      </w:r>
    </w:p>
    <w:p w:rsidR="00AA3B2A" w:rsidRPr="00AA3B2A" w:rsidRDefault="00AA3B2A" w:rsidP="00AA3B2A">
      <w:pPr>
        <w:rPr>
          <w:rFonts w:eastAsia="Times New Roman" w:cs="Arial"/>
          <w:szCs w:val="22"/>
          <w:lang w:eastAsia="cs-CZ"/>
        </w:rPr>
      </w:pPr>
      <w:r w:rsidRPr="00AA3B2A">
        <w:rPr>
          <w:rFonts w:eastAsia="Times New Roman" w:cs="Arial"/>
          <w:b/>
          <w:bCs/>
          <w:szCs w:val="22"/>
          <w:lang w:eastAsia="cs-CZ"/>
        </w:rPr>
        <w:t>Vzor žádosti o posečkání</w:t>
      </w:r>
    </w:p>
    <w:p w:rsidR="00AA3B2A" w:rsidRPr="00AA3B2A" w:rsidRDefault="00AA3B2A" w:rsidP="00AA3B2A">
      <w:pPr>
        <w:rPr>
          <w:rFonts w:eastAsia="Times New Roman" w:cs="Arial"/>
          <w:szCs w:val="22"/>
          <w:lang w:eastAsia="cs-CZ"/>
        </w:rPr>
      </w:pPr>
      <w:r w:rsidRPr="00AA3B2A">
        <w:rPr>
          <w:rFonts w:eastAsia="Times New Roman" w:cs="Arial"/>
          <w:i/>
          <w:iCs/>
          <w:szCs w:val="22"/>
          <w:lang w:eastAsia="cs-CZ"/>
        </w:rPr>
        <w:t>Finanční úřad pro …</w:t>
      </w:r>
    </w:p>
    <w:p w:rsidR="00AA3B2A" w:rsidRPr="00AA3B2A" w:rsidRDefault="00AA3B2A" w:rsidP="00AA3B2A">
      <w:pPr>
        <w:rPr>
          <w:rFonts w:eastAsia="Times New Roman" w:cs="Arial"/>
          <w:szCs w:val="22"/>
          <w:lang w:eastAsia="cs-CZ"/>
        </w:rPr>
      </w:pPr>
      <w:r w:rsidRPr="00AA3B2A">
        <w:rPr>
          <w:rFonts w:eastAsia="Times New Roman" w:cs="Arial"/>
          <w:i/>
          <w:iCs/>
          <w:szCs w:val="22"/>
          <w:lang w:eastAsia="cs-CZ"/>
        </w:rPr>
        <w:t>Žádost o povolení posečkání</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Nejprve je nutno uvést o jakou daňovou povinnost se jedná resp. daň, o jejíž posečkání úhrady je žádáno. </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Např. </w:t>
      </w:r>
      <w:r w:rsidRPr="00AA3B2A">
        <w:rPr>
          <w:rFonts w:eastAsia="Times New Roman" w:cs="Arial"/>
          <w:i/>
          <w:iCs/>
          <w:szCs w:val="22"/>
          <w:lang w:eastAsia="cs-CZ"/>
        </w:rPr>
        <w:t xml:space="preserve">Dne … jsem podal </w:t>
      </w:r>
      <w:r w:rsidR="004405FE">
        <w:rPr>
          <w:rFonts w:eastAsia="Times New Roman" w:cs="Arial"/>
          <w:i/>
          <w:iCs/>
          <w:szCs w:val="22"/>
          <w:lang w:eastAsia="cs-CZ"/>
        </w:rPr>
        <w:t xml:space="preserve">dodatečné </w:t>
      </w:r>
      <w:r w:rsidRPr="00AA3B2A">
        <w:rPr>
          <w:rFonts w:eastAsia="Times New Roman" w:cs="Arial"/>
          <w:i/>
          <w:iCs/>
          <w:szCs w:val="22"/>
          <w:lang w:eastAsia="cs-CZ"/>
        </w:rPr>
        <w:t>daňové přiznání k dani z</w:t>
      </w:r>
      <w:r w:rsidR="004405FE">
        <w:rPr>
          <w:rFonts w:eastAsia="Times New Roman" w:cs="Arial"/>
          <w:i/>
          <w:iCs/>
          <w:szCs w:val="22"/>
          <w:lang w:eastAsia="cs-CZ"/>
        </w:rPr>
        <w:t> nabytí nemovitých věcí ve věci kupní smlouvy číslo jednací katastrálního úřadu …………….</w:t>
      </w:r>
      <w:r w:rsidRPr="00AA3B2A">
        <w:rPr>
          <w:rFonts w:eastAsia="Times New Roman" w:cs="Arial"/>
          <w:i/>
          <w:iCs/>
          <w:szCs w:val="22"/>
          <w:lang w:eastAsia="cs-CZ"/>
        </w:rPr>
        <w:t xml:space="preserve">, jehož předmětem je daň ve výši … Kč. Tuto částku daně jsem z důvodu … neuhradil včas a nyní jsem povinen kromě daně uhradit dále úrok z prodlení </w:t>
      </w:r>
      <w:r w:rsidR="00FC28A8">
        <w:rPr>
          <w:rFonts w:eastAsia="Times New Roman" w:cs="Arial"/>
          <w:i/>
          <w:iCs/>
          <w:szCs w:val="22"/>
          <w:lang w:eastAsia="cs-CZ"/>
        </w:rPr>
        <w:t xml:space="preserve">(případně i </w:t>
      </w:r>
      <w:r w:rsidRPr="00AA3B2A">
        <w:rPr>
          <w:rFonts w:eastAsia="Times New Roman" w:cs="Arial"/>
          <w:i/>
          <w:iCs/>
          <w:szCs w:val="22"/>
          <w:lang w:eastAsia="cs-CZ"/>
        </w:rPr>
        <w:t>pokutu za opožděné tvrzení</w:t>
      </w:r>
      <w:r w:rsidR="00FC28A8">
        <w:rPr>
          <w:rFonts w:eastAsia="Times New Roman" w:cs="Arial"/>
          <w:i/>
          <w:iCs/>
          <w:szCs w:val="22"/>
          <w:lang w:eastAsia="cs-CZ"/>
        </w:rPr>
        <w:t>)</w:t>
      </w:r>
      <w:r w:rsidRPr="00AA3B2A">
        <w:rPr>
          <w:rFonts w:eastAsia="Times New Roman" w:cs="Arial"/>
          <w:i/>
          <w:iCs/>
          <w:szCs w:val="22"/>
          <w:lang w:eastAsia="cs-CZ"/>
        </w:rPr>
        <w:t>.</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Nyní je třeba uvést </w:t>
      </w:r>
      <w:r w:rsidRPr="00AA3B2A">
        <w:rPr>
          <w:rFonts w:eastAsia="Times New Roman" w:cs="Arial"/>
          <w:szCs w:val="22"/>
          <w:u w:val="single"/>
          <w:lang w:eastAsia="cs-CZ"/>
        </w:rPr>
        <w:t>všechny</w:t>
      </w:r>
      <w:r w:rsidRPr="00AA3B2A">
        <w:rPr>
          <w:rFonts w:eastAsia="Times New Roman" w:cs="Arial"/>
          <w:szCs w:val="22"/>
          <w:lang w:eastAsia="cs-CZ"/>
        </w:rPr>
        <w:t xml:space="preserve"> důvody, proč daný poplatník není schopen uhradit hned celou částku najednou, ale zároveň uvést i z jakých zdrojů bude částka v budoucnu uhrazena.</w:t>
      </w:r>
    </w:p>
    <w:p w:rsidR="00AA3B2A" w:rsidRPr="00AA3B2A" w:rsidRDefault="00AA3B2A" w:rsidP="00AA3B2A">
      <w:pPr>
        <w:rPr>
          <w:rFonts w:eastAsia="Times New Roman" w:cs="Arial"/>
          <w:szCs w:val="22"/>
          <w:lang w:eastAsia="cs-CZ"/>
        </w:rPr>
      </w:pPr>
      <w:r w:rsidRPr="00AA3B2A">
        <w:rPr>
          <w:rFonts w:eastAsia="Times New Roman" w:cs="Arial"/>
          <w:szCs w:val="22"/>
          <w:u w:val="single"/>
          <w:lang w:eastAsia="cs-CZ"/>
        </w:rPr>
        <w:t>Vše musí být již k žádosti doloženo</w:t>
      </w:r>
      <w:r w:rsidRPr="00AA3B2A">
        <w:rPr>
          <w:rFonts w:eastAsia="Times New Roman" w:cs="Arial"/>
          <w:szCs w:val="22"/>
          <w:lang w:eastAsia="cs-CZ"/>
        </w:rPr>
        <w:t>.</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A následně navrhnout </w:t>
      </w:r>
      <w:proofErr w:type="gramStart"/>
      <w:r w:rsidRPr="00AA3B2A">
        <w:rPr>
          <w:rFonts w:eastAsia="Times New Roman" w:cs="Arial"/>
          <w:szCs w:val="22"/>
          <w:lang w:eastAsia="cs-CZ"/>
        </w:rPr>
        <w:t>termín(y), kdy</w:t>
      </w:r>
      <w:proofErr w:type="gramEnd"/>
      <w:r w:rsidRPr="00AA3B2A">
        <w:rPr>
          <w:rFonts w:eastAsia="Times New Roman" w:cs="Arial"/>
          <w:szCs w:val="22"/>
          <w:lang w:eastAsia="cs-CZ"/>
        </w:rPr>
        <w:t xml:space="preserve"> je schopen částku/y hradit.</w:t>
      </w:r>
    </w:p>
    <w:p w:rsidR="00AA3B2A" w:rsidRPr="00AA3B2A" w:rsidRDefault="00AA3B2A" w:rsidP="00AA3B2A">
      <w:pPr>
        <w:rPr>
          <w:rFonts w:eastAsia="Times New Roman" w:cs="Arial"/>
          <w:szCs w:val="22"/>
          <w:lang w:eastAsia="cs-CZ"/>
        </w:rPr>
      </w:pPr>
      <w:r w:rsidRPr="00AA3B2A">
        <w:rPr>
          <w:rFonts w:eastAsia="Times New Roman" w:cs="Arial"/>
          <w:szCs w:val="22"/>
          <w:lang w:eastAsia="cs-CZ"/>
        </w:rPr>
        <w:t xml:space="preserve">Např. </w:t>
      </w:r>
      <w:r w:rsidRPr="00AA3B2A">
        <w:rPr>
          <w:rFonts w:eastAsia="Times New Roman" w:cs="Arial"/>
          <w:i/>
          <w:iCs/>
          <w:szCs w:val="22"/>
          <w:lang w:eastAsia="cs-CZ"/>
        </w:rPr>
        <w:t>Z výše uvedených důvodů žádám o povolení posečkání úhrady daně z</w:t>
      </w:r>
      <w:r w:rsidR="004405FE">
        <w:rPr>
          <w:rFonts w:eastAsia="Times New Roman" w:cs="Arial"/>
          <w:i/>
          <w:iCs/>
          <w:szCs w:val="22"/>
          <w:lang w:eastAsia="cs-CZ"/>
        </w:rPr>
        <w:t> nabytí nemovitých věcí</w:t>
      </w:r>
      <w:r w:rsidRPr="00AA3B2A">
        <w:rPr>
          <w:rFonts w:eastAsia="Times New Roman" w:cs="Arial"/>
          <w:i/>
          <w:iCs/>
          <w:szCs w:val="22"/>
          <w:lang w:eastAsia="cs-CZ"/>
        </w:rPr>
        <w:t xml:space="preserve"> (popř. i o posečkání úhrady úroku z prodlení či o posečkání pokuty za opožděné tvrzení) v částce … do … (termín úhrady, v případě více splátek je vhodné přiložit navrhovaný splátkový kalendář).</w:t>
      </w:r>
    </w:p>
    <w:p w:rsidR="00AA3B2A" w:rsidRPr="00AA3B2A" w:rsidRDefault="00AA3B2A" w:rsidP="00AA3B2A">
      <w:pPr>
        <w:rPr>
          <w:rFonts w:eastAsia="Times New Roman" w:cs="Arial"/>
          <w:szCs w:val="22"/>
          <w:lang w:eastAsia="cs-CZ"/>
        </w:rPr>
      </w:pPr>
      <w:r w:rsidRPr="00AA3B2A">
        <w:rPr>
          <w:rFonts w:eastAsia="Times New Roman" w:cs="Arial"/>
          <w:i/>
          <w:iCs/>
          <w:szCs w:val="22"/>
          <w:lang w:eastAsia="cs-CZ"/>
        </w:rPr>
        <w:t>V …… dne …</w:t>
      </w:r>
    </w:p>
    <w:p w:rsidR="00AA3B2A" w:rsidRPr="00AA3B2A" w:rsidRDefault="00AA3B2A" w:rsidP="00AA3B2A">
      <w:pPr>
        <w:ind w:left="6804"/>
        <w:rPr>
          <w:rFonts w:eastAsia="Times New Roman" w:cs="Arial"/>
          <w:szCs w:val="22"/>
          <w:lang w:eastAsia="cs-CZ"/>
        </w:rPr>
      </w:pPr>
      <w:r w:rsidRPr="00AA3B2A">
        <w:rPr>
          <w:rFonts w:eastAsia="Times New Roman" w:cs="Arial"/>
          <w:i/>
          <w:iCs/>
          <w:szCs w:val="22"/>
          <w:lang w:eastAsia="cs-CZ"/>
        </w:rPr>
        <w:t>Jméno a příjmení</w:t>
      </w:r>
    </w:p>
    <w:p w:rsidR="00AA3B2A" w:rsidRPr="00AA3B2A" w:rsidRDefault="00AA3B2A" w:rsidP="00AA3B2A">
      <w:pPr>
        <w:ind w:left="6804"/>
        <w:rPr>
          <w:rFonts w:eastAsia="Times New Roman" w:cs="Arial"/>
          <w:szCs w:val="22"/>
          <w:lang w:eastAsia="cs-CZ"/>
        </w:rPr>
      </w:pPr>
      <w:r w:rsidRPr="00AA3B2A">
        <w:rPr>
          <w:rFonts w:eastAsia="Times New Roman" w:cs="Arial"/>
          <w:i/>
          <w:iCs/>
          <w:szCs w:val="22"/>
          <w:lang w:eastAsia="cs-CZ"/>
        </w:rPr>
        <w:t>identifikace</w:t>
      </w:r>
    </w:p>
    <w:p w:rsidR="001F44C9" w:rsidRPr="00AA3B2A" w:rsidRDefault="001F44C9" w:rsidP="00AA3B2A">
      <w:pPr>
        <w:rPr>
          <w:rFonts w:cs="Arial"/>
          <w:szCs w:val="22"/>
        </w:rPr>
      </w:pPr>
    </w:p>
    <w:p w:rsidR="00AA3B2A" w:rsidRPr="00AA3B2A" w:rsidRDefault="00AA3B2A" w:rsidP="00AA3B2A">
      <w:pPr>
        <w:rPr>
          <w:rFonts w:cs="Arial"/>
          <w:szCs w:val="22"/>
        </w:rPr>
      </w:pPr>
    </w:p>
    <w:sectPr w:rsidR="00AA3B2A" w:rsidRPr="00AA3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955"/>
    <w:multiLevelType w:val="multilevel"/>
    <w:tmpl w:val="5756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16B73"/>
    <w:multiLevelType w:val="hybridMultilevel"/>
    <w:tmpl w:val="DF44B9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2A"/>
    <w:rsid w:val="000277E9"/>
    <w:rsid w:val="00083D58"/>
    <w:rsid w:val="001D0EC4"/>
    <w:rsid w:val="001F44C9"/>
    <w:rsid w:val="003646D1"/>
    <w:rsid w:val="004405FE"/>
    <w:rsid w:val="00537AA7"/>
    <w:rsid w:val="005620A6"/>
    <w:rsid w:val="0061640B"/>
    <w:rsid w:val="0068568F"/>
    <w:rsid w:val="008C4CD1"/>
    <w:rsid w:val="00A0674C"/>
    <w:rsid w:val="00AA3B2A"/>
    <w:rsid w:val="00C573BE"/>
    <w:rsid w:val="00CD005B"/>
    <w:rsid w:val="00CD7414"/>
    <w:rsid w:val="00E65EE2"/>
    <w:rsid w:val="00F85E17"/>
    <w:rsid w:val="00FA6C69"/>
    <w:rsid w:val="00FC2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C930-A564-45A0-8189-486B1671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A3B2A"/>
    <w:pPr>
      <w:spacing w:before="100" w:beforeAutospacing="1" w:after="100" w:afterAutospacing="1"/>
      <w:jc w:val="left"/>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3B2A"/>
    <w:rPr>
      <w:rFonts w:ascii="Times New Roman" w:eastAsia="Times New Roman" w:hAnsi="Times New Roman"/>
      <w:b/>
      <w:bCs/>
      <w:kern w:val="36"/>
      <w:sz w:val="48"/>
      <w:szCs w:val="48"/>
      <w:lang w:eastAsia="cs-CZ"/>
    </w:rPr>
  </w:style>
  <w:style w:type="character" w:styleId="Hypertextovodkaz">
    <w:name w:val="Hyperlink"/>
    <w:basedOn w:val="Standardnpsmoodstavce"/>
    <w:uiPriority w:val="99"/>
    <w:semiHidden/>
    <w:unhideWhenUsed/>
    <w:rsid w:val="00AA3B2A"/>
    <w:rPr>
      <w:color w:val="0000FF"/>
      <w:u w:val="single"/>
    </w:rPr>
  </w:style>
  <w:style w:type="character" w:customStyle="1" w:styleId="ico-article-date">
    <w:name w:val="ico-article-date"/>
    <w:basedOn w:val="Standardnpsmoodstavce"/>
    <w:rsid w:val="00AA3B2A"/>
  </w:style>
  <w:style w:type="paragraph" w:styleId="Normlnweb">
    <w:name w:val="Normal (Web)"/>
    <w:basedOn w:val="Normln"/>
    <w:uiPriority w:val="99"/>
    <w:semiHidden/>
    <w:unhideWhenUsed/>
    <w:rsid w:val="00AA3B2A"/>
    <w:pPr>
      <w:spacing w:before="100" w:beforeAutospacing="1" w:after="100" w:afterAutospacing="1"/>
      <w:jc w:val="left"/>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FC28A8"/>
    <w:rPr>
      <w:rFonts w:ascii="Tahoma" w:hAnsi="Tahoma" w:cs="Tahoma"/>
      <w:sz w:val="16"/>
      <w:szCs w:val="16"/>
    </w:rPr>
  </w:style>
  <w:style w:type="character" w:customStyle="1" w:styleId="TextbublinyChar">
    <w:name w:val="Text bubliny Char"/>
    <w:basedOn w:val="Standardnpsmoodstavce"/>
    <w:link w:val="Textbubliny"/>
    <w:uiPriority w:val="99"/>
    <w:semiHidden/>
    <w:rsid w:val="00FC28A8"/>
    <w:rPr>
      <w:rFonts w:ascii="Tahoma" w:hAnsi="Tahoma" w:cs="Tahoma"/>
      <w:sz w:val="16"/>
      <w:szCs w:val="16"/>
    </w:rPr>
  </w:style>
  <w:style w:type="paragraph" w:styleId="Odstavecseseznamem">
    <w:name w:val="List Paragraph"/>
    <w:basedOn w:val="Normln"/>
    <w:uiPriority w:val="34"/>
    <w:qFormat/>
    <w:rsid w:val="00A0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41703">
      <w:bodyDiv w:val="1"/>
      <w:marLeft w:val="0"/>
      <w:marRight w:val="0"/>
      <w:marTop w:val="0"/>
      <w:marBottom w:val="0"/>
      <w:divBdr>
        <w:top w:val="none" w:sz="0" w:space="0" w:color="auto"/>
        <w:left w:val="none" w:sz="0" w:space="0" w:color="auto"/>
        <w:bottom w:val="none" w:sz="0" w:space="0" w:color="auto"/>
        <w:right w:val="none" w:sz="0" w:space="0" w:color="auto"/>
      </w:divBdr>
      <w:divsChild>
        <w:div w:id="1184322262">
          <w:marLeft w:val="0"/>
          <w:marRight w:val="0"/>
          <w:marTop w:val="0"/>
          <w:marBottom w:val="0"/>
          <w:divBdr>
            <w:top w:val="none" w:sz="0" w:space="0" w:color="auto"/>
            <w:left w:val="none" w:sz="0" w:space="0" w:color="auto"/>
            <w:bottom w:val="none" w:sz="0" w:space="0" w:color="auto"/>
            <w:right w:val="none" w:sz="0" w:space="0" w:color="auto"/>
          </w:divBdr>
          <w:divsChild>
            <w:div w:id="820004924">
              <w:marLeft w:val="0"/>
              <w:marRight w:val="0"/>
              <w:marTop w:val="0"/>
              <w:marBottom w:val="0"/>
              <w:divBdr>
                <w:top w:val="none" w:sz="0" w:space="0" w:color="auto"/>
                <w:left w:val="none" w:sz="0" w:space="0" w:color="auto"/>
                <w:bottom w:val="none" w:sz="0" w:space="0" w:color="auto"/>
                <w:right w:val="none" w:sz="0" w:space="0" w:color="auto"/>
              </w:divBdr>
              <w:divsChild>
                <w:div w:id="1459451196">
                  <w:marLeft w:val="0"/>
                  <w:marRight w:val="0"/>
                  <w:marTop w:val="0"/>
                  <w:marBottom w:val="0"/>
                  <w:divBdr>
                    <w:top w:val="none" w:sz="0" w:space="0" w:color="auto"/>
                    <w:left w:val="none" w:sz="0" w:space="0" w:color="auto"/>
                    <w:bottom w:val="none" w:sz="0" w:space="0" w:color="auto"/>
                    <w:right w:val="none" w:sz="0" w:space="0" w:color="auto"/>
                  </w:divBdr>
                  <w:divsChild>
                    <w:div w:id="1058940789">
                      <w:marLeft w:val="0"/>
                      <w:marRight w:val="0"/>
                      <w:marTop w:val="0"/>
                      <w:marBottom w:val="0"/>
                      <w:divBdr>
                        <w:top w:val="none" w:sz="0" w:space="0" w:color="auto"/>
                        <w:left w:val="none" w:sz="0" w:space="0" w:color="auto"/>
                        <w:bottom w:val="none" w:sz="0" w:space="0" w:color="auto"/>
                        <w:right w:val="none" w:sz="0" w:space="0" w:color="auto"/>
                      </w:divBdr>
                      <w:divsChild>
                        <w:div w:id="1345207212">
                          <w:marLeft w:val="0"/>
                          <w:marRight w:val="0"/>
                          <w:marTop w:val="0"/>
                          <w:marBottom w:val="0"/>
                          <w:divBdr>
                            <w:top w:val="none" w:sz="0" w:space="0" w:color="auto"/>
                            <w:left w:val="none" w:sz="0" w:space="0" w:color="auto"/>
                            <w:bottom w:val="none" w:sz="0" w:space="0" w:color="auto"/>
                            <w:right w:val="none" w:sz="0" w:space="0" w:color="auto"/>
                          </w:divBdr>
                          <w:divsChild>
                            <w:div w:id="1634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539">
                      <w:marLeft w:val="0"/>
                      <w:marRight w:val="0"/>
                      <w:marTop w:val="0"/>
                      <w:marBottom w:val="0"/>
                      <w:divBdr>
                        <w:top w:val="none" w:sz="0" w:space="0" w:color="auto"/>
                        <w:left w:val="none" w:sz="0" w:space="0" w:color="auto"/>
                        <w:bottom w:val="none" w:sz="0" w:space="0" w:color="auto"/>
                        <w:right w:val="none" w:sz="0" w:space="0" w:color="auto"/>
                      </w:divBdr>
                    </w:div>
                    <w:div w:id="773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app/zakony/zakonPar.jsp?page=0&amp;idBiblio=58613&amp;recShow=14&amp;fulltext=&amp;nr=634~2F2004&amp;part=&amp;name=&amp;rpp=15%20-%20parCnt" TargetMode="External"/><Relationship Id="rId3" Type="http://schemas.openxmlformats.org/officeDocument/2006/relationships/settings" Target="settings.xml"/><Relationship Id="rId7" Type="http://schemas.openxmlformats.org/officeDocument/2006/relationships/hyperlink" Target="http://www.financnisprava.cz/assets/cs/prilohy/d-sprava-dani-a-poplatku/2015-Metodicky-pokyn-k-posecka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cz/cs/legislativa/financni-zpravodaj/2016/financni-zpravodaj-cislo-12016-23818" TargetMode="External"/><Relationship Id="rId5" Type="http://schemas.openxmlformats.org/officeDocument/2006/relationships/hyperlink" Target="http://www.daneelektronicky.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5225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Koreček Jan Ing. (GFŘ)</dc:creator>
  <cp:lastModifiedBy>Trnka Tomáš (GFŘ)</cp:lastModifiedBy>
  <cp:revision>2</cp:revision>
  <cp:lastPrinted>2017-04-12T13:02:00Z</cp:lastPrinted>
  <dcterms:created xsi:type="dcterms:W3CDTF">2017-04-20T13:43:00Z</dcterms:created>
  <dcterms:modified xsi:type="dcterms:W3CDTF">2017-04-20T13:43:00Z</dcterms:modified>
</cp:coreProperties>
</file>