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C4" w:rsidRDefault="00422420" w:rsidP="00D5723F">
      <w:pPr>
        <w:outlineLvl w:val="0"/>
        <w:rPr>
          <w:rFonts w:eastAsia="Times New Roman" w:cs="Arial"/>
          <w:b/>
          <w:bCs/>
          <w:kern w:val="36"/>
          <w:szCs w:val="22"/>
          <w:lang w:eastAsia="cs-CZ"/>
        </w:rPr>
      </w:pPr>
      <w:r>
        <w:rPr>
          <w:rFonts w:eastAsia="Times New Roman" w:cs="Arial"/>
          <w:b/>
          <w:bCs/>
          <w:kern w:val="36"/>
          <w:szCs w:val="22"/>
          <w:lang w:eastAsia="cs-CZ"/>
        </w:rPr>
        <w:t>I</w:t>
      </w:r>
      <w:r w:rsidR="00ED35C4" w:rsidRPr="00ED35C4">
        <w:rPr>
          <w:rFonts w:eastAsia="Times New Roman" w:cs="Arial"/>
          <w:b/>
          <w:bCs/>
          <w:kern w:val="36"/>
          <w:szCs w:val="22"/>
          <w:lang w:eastAsia="cs-CZ"/>
        </w:rPr>
        <w:t>nformace k možnosti žádat o prominutí příslušenství daně</w:t>
      </w:r>
      <w:r w:rsidR="0061478A">
        <w:rPr>
          <w:rFonts w:eastAsia="Times New Roman" w:cs="Arial"/>
          <w:b/>
          <w:bCs/>
          <w:kern w:val="36"/>
          <w:szCs w:val="22"/>
          <w:lang w:eastAsia="cs-CZ"/>
        </w:rPr>
        <w:t xml:space="preserve"> </w:t>
      </w:r>
      <w:r>
        <w:rPr>
          <w:rFonts w:eastAsia="Times New Roman" w:cs="Arial"/>
          <w:b/>
          <w:bCs/>
          <w:kern w:val="36"/>
          <w:szCs w:val="22"/>
          <w:lang w:eastAsia="cs-CZ"/>
        </w:rPr>
        <w:t xml:space="preserve">z nabytí nemovitých věcí </w:t>
      </w:r>
      <w:r w:rsidR="0061478A">
        <w:rPr>
          <w:rFonts w:eastAsia="Times New Roman" w:cs="Arial"/>
          <w:b/>
          <w:bCs/>
          <w:kern w:val="36"/>
          <w:szCs w:val="22"/>
          <w:lang w:eastAsia="cs-CZ"/>
        </w:rPr>
        <w:t>(dále jen „Informace“)</w:t>
      </w:r>
      <w:r w:rsidR="00BE2826">
        <w:rPr>
          <w:rFonts w:eastAsia="Times New Roman" w:cs="Arial"/>
          <w:b/>
          <w:bCs/>
          <w:kern w:val="36"/>
          <w:szCs w:val="22"/>
          <w:lang w:eastAsia="cs-CZ"/>
        </w:rPr>
        <w:t xml:space="preserve"> </w:t>
      </w:r>
    </w:p>
    <w:p w:rsidR="00B94B7A" w:rsidRPr="00ED35C4" w:rsidRDefault="00B94B7A" w:rsidP="00D5723F">
      <w:pPr>
        <w:outlineLvl w:val="0"/>
        <w:rPr>
          <w:rFonts w:eastAsia="Times New Roman" w:cs="Arial"/>
          <w:b/>
          <w:bCs/>
          <w:kern w:val="36"/>
          <w:szCs w:val="22"/>
          <w:lang w:eastAsia="cs-CZ"/>
        </w:rPr>
      </w:pPr>
    </w:p>
    <w:p w:rsidR="004B2869" w:rsidRDefault="00496AC3" w:rsidP="00D5723F">
      <w:pPr>
        <w:rPr>
          <w:rFonts w:eastAsia="Times New Roman" w:cs="Arial"/>
          <w:szCs w:val="22"/>
          <w:u w:val="single"/>
          <w:lang w:eastAsia="cs-CZ"/>
        </w:rPr>
      </w:pPr>
      <w:r w:rsidRPr="00AA3B2A">
        <w:rPr>
          <w:rFonts w:eastAsia="Times New Roman" w:cs="Arial"/>
          <w:szCs w:val="22"/>
          <w:lang w:eastAsia="cs-CZ"/>
        </w:rPr>
        <w:t xml:space="preserve">příloha k materiálu </w:t>
      </w:r>
      <w:r w:rsidR="00854201">
        <w:rPr>
          <w:rFonts w:eastAsia="Times New Roman" w:cs="Arial"/>
          <w:szCs w:val="22"/>
          <w:lang w:eastAsia="cs-CZ"/>
        </w:rPr>
        <w:t>„</w:t>
      </w:r>
      <w:r w:rsidR="00675DB6" w:rsidRPr="00675DB6">
        <w:rPr>
          <w:rFonts w:eastAsia="Times New Roman" w:cs="Arial"/>
          <w:szCs w:val="22"/>
          <w:u w:val="single"/>
          <w:lang w:eastAsia="cs-CZ"/>
        </w:rPr>
        <w:t>Informace k aplikaci zákonného opatření Senátu č. 340/2013 Sb., o dani z nabytí nemovitých věcí, ve znění pozdějších předpisů (dále jen „zákonné opatření“), v</w:t>
      </w:r>
      <w:r w:rsidR="00675DB6">
        <w:rPr>
          <w:rFonts w:eastAsia="Times New Roman" w:cs="Arial"/>
          <w:szCs w:val="22"/>
          <w:u w:val="single"/>
          <w:lang w:eastAsia="cs-CZ"/>
        </w:rPr>
        <w:t> </w:t>
      </w:r>
      <w:r w:rsidR="00675DB6" w:rsidRPr="00675DB6">
        <w:rPr>
          <w:rFonts w:eastAsia="Times New Roman" w:cs="Arial"/>
          <w:szCs w:val="22"/>
          <w:u w:val="single"/>
          <w:lang w:eastAsia="cs-CZ"/>
        </w:rPr>
        <w:t>případě nabytí vlastnického práva k bytové jednotce v rodinném domě</w:t>
      </w:r>
      <w:r w:rsidR="002B58DD">
        <w:rPr>
          <w:rFonts w:eastAsia="Times New Roman" w:cs="Arial"/>
          <w:szCs w:val="22"/>
          <w:u w:val="single"/>
          <w:lang w:eastAsia="cs-CZ"/>
        </w:rPr>
        <w:t>“</w:t>
      </w:r>
    </w:p>
    <w:p w:rsidR="002B58DD" w:rsidRDefault="002B58DD" w:rsidP="00D5723F">
      <w:pPr>
        <w:rPr>
          <w:rFonts w:eastAsia="Times New Roman" w:cs="Arial"/>
          <w:szCs w:val="22"/>
          <w:lang w:eastAsia="cs-CZ"/>
        </w:rPr>
      </w:pPr>
    </w:p>
    <w:p w:rsidR="00D5723F" w:rsidRDefault="00D5723F" w:rsidP="00D5723F">
      <w:pPr>
        <w:rPr>
          <w:rFonts w:eastAsia="Times New Roman" w:cs="Arial"/>
          <w:szCs w:val="22"/>
          <w:lang w:eastAsia="cs-CZ"/>
        </w:rPr>
      </w:pPr>
    </w:p>
    <w:p w:rsidR="002B58DD" w:rsidRDefault="002B58DD" w:rsidP="00D5723F">
      <w:pPr>
        <w:rPr>
          <w:rFonts w:eastAsia="Times New Roman" w:cs="Arial"/>
          <w:b/>
          <w:szCs w:val="22"/>
          <w:lang w:eastAsia="cs-CZ"/>
        </w:rPr>
      </w:pPr>
      <w:r w:rsidRPr="0061478A">
        <w:rPr>
          <w:rFonts w:eastAsia="Times New Roman" w:cs="Arial"/>
          <w:b/>
          <w:szCs w:val="22"/>
          <w:lang w:eastAsia="cs-CZ"/>
        </w:rPr>
        <w:t xml:space="preserve">Případy, </w:t>
      </w:r>
      <w:r w:rsidR="00E45BBE">
        <w:rPr>
          <w:rFonts w:eastAsia="Times New Roman" w:cs="Arial"/>
          <w:b/>
          <w:szCs w:val="22"/>
          <w:lang w:eastAsia="cs-CZ"/>
        </w:rPr>
        <w:t>na které</w:t>
      </w:r>
      <w:r w:rsidRPr="0061478A">
        <w:rPr>
          <w:rFonts w:eastAsia="Times New Roman" w:cs="Arial"/>
          <w:b/>
          <w:szCs w:val="22"/>
          <w:lang w:eastAsia="cs-CZ"/>
        </w:rPr>
        <w:t xml:space="preserve"> se </w:t>
      </w:r>
      <w:r w:rsidR="0061478A">
        <w:rPr>
          <w:rFonts w:eastAsia="Times New Roman" w:cs="Arial"/>
          <w:b/>
          <w:szCs w:val="22"/>
          <w:lang w:eastAsia="cs-CZ"/>
        </w:rPr>
        <w:t>I</w:t>
      </w:r>
      <w:r w:rsidRPr="0061478A">
        <w:rPr>
          <w:rFonts w:eastAsia="Times New Roman" w:cs="Arial"/>
          <w:b/>
          <w:szCs w:val="22"/>
          <w:lang w:eastAsia="cs-CZ"/>
        </w:rPr>
        <w:t>nformace vztahuje:</w:t>
      </w:r>
    </w:p>
    <w:p w:rsidR="00D5723F" w:rsidRPr="0061478A" w:rsidRDefault="00D5723F" w:rsidP="00D5723F">
      <w:pPr>
        <w:rPr>
          <w:rFonts w:eastAsia="Times New Roman" w:cs="Arial"/>
          <w:b/>
          <w:szCs w:val="22"/>
          <w:lang w:eastAsia="cs-CZ"/>
        </w:rPr>
      </w:pPr>
    </w:p>
    <w:p w:rsidR="00BE2826" w:rsidRDefault="000D7C3C" w:rsidP="00D5723F">
      <w:pPr>
        <w:rPr>
          <w:rFonts w:eastAsia="Times New Roman" w:cs="Arial"/>
          <w:b/>
          <w:bCs/>
          <w:kern w:val="36"/>
          <w:szCs w:val="22"/>
          <w:lang w:eastAsia="cs-CZ"/>
        </w:rPr>
      </w:pPr>
      <w:r>
        <w:rPr>
          <w:rFonts w:eastAsia="Times New Roman" w:cs="Arial"/>
          <w:b/>
          <w:bCs/>
          <w:kern w:val="36"/>
          <w:szCs w:val="22"/>
          <w:lang w:val="en-US" w:eastAsia="cs-CZ"/>
        </w:rPr>
        <w:t>[</w:t>
      </w:r>
      <w:proofErr w:type="gramStart"/>
      <w:r w:rsidR="00BE2826">
        <w:rPr>
          <w:rFonts w:eastAsia="Times New Roman" w:cs="Arial"/>
          <w:b/>
          <w:bCs/>
          <w:kern w:val="36"/>
          <w:szCs w:val="22"/>
          <w:lang w:eastAsia="cs-CZ"/>
        </w:rPr>
        <w:t>druh</w:t>
      </w:r>
      <w:proofErr w:type="gramEnd"/>
      <w:r w:rsidR="00BE2826">
        <w:rPr>
          <w:rFonts w:eastAsia="Times New Roman" w:cs="Arial"/>
          <w:b/>
          <w:bCs/>
          <w:kern w:val="36"/>
          <w:szCs w:val="22"/>
          <w:lang w:eastAsia="cs-CZ"/>
        </w:rPr>
        <w:t xml:space="preserve"> daně</w:t>
      </w:r>
      <w:r>
        <w:rPr>
          <w:rFonts w:eastAsia="Times New Roman" w:cs="Arial"/>
          <w:b/>
          <w:bCs/>
          <w:kern w:val="36"/>
          <w:szCs w:val="22"/>
          <w:lang w:eastAsia="cs-CZ"/>
        </w:rPr>
        <w:t>]</w:t>
      </w:r>
      <w:r w:rsidR="00BE2826">
        <w:rPr>
          <w:rFonts w:eastAsia="Times New Roman" w:cs="Arial"/>
          <w:b/>
          <w:bCs/>
          <w:kern w:val="36"/>
          <w:szCs w:val="22"/>
          <w:lang w:eastAsia="cs-CZ"/>
        </w:rPr>
        <w:t xml:space="preserve"> </w:t>
      </w:r>
      <w:r w:rsidR="00BE2826" w:rsidRPr="00BE2826">
        <w:rPr>
          <w:rFonts w:eastAsia="Times New Roman" w:cs="Arial"/>
          <w:bCs/>
          <w:kern w:val="36"/>
          <w:szCs w:val="22"/>
          <w:lang w:eastAsia="cs-CZ"/>
        </w:rPr>
        <w:t>Daň z nabytí nemovitých věcí</w:t>
      </w:r>
      <w:r w:rsidR="00BE2826">
        <w:rPr>
          <w:rFonts w:eastAsia="Times New Roman" w:cs="Arial"/>
          <w:b/>
          <w:bCs/>
          <w:kern w:val="36"/>
          <w:szCs w:val="22"/>
          <w:lang w:eastAsia="cs-CZ"/>
        </w:rPr>
        <w:t xml:space="preserve"> </w:t>
      </w:r>
      <w:r w:rsidR="00BE2826" w:rsidRPr="00BE2826">
        <w:rPr>
          <w:rFonts w:eastAsia="Times New Roman" w:cs="Arial"/>
          <w:bCs/>
          <w:kern w:val="36"/>
          <w:szCs w:val="22"/>
          <w:lang w:eastAsia="cs-CZ"/>
        </w:rPr>
        <w:t>podle</w:t>
      </w:r>
      <w:r w:rsidR="00BE2826" w:rsidRPr="00BE2826">
        <w:rPr>
          <w:rFonts w:eastAsia="Times New Roman" w:cs="Arial"/>
          <w:szCs w:val="22"/>
          <w:lang w:eastAsia="cs-CZ"/>
        </w:rPr>
        <w:t xml:space="preserve"> zákonného opatření Senátu č. 340/2013 Sb., o dani z nabytí nemovitých věcí, ve znění pozdějších předpisů (dále jen „zákonné</w:t>
      </w:r>
      <w:r w:rsidR="00BE2826">
        <w:rPr>
          <w:rFonts w:eastAsia="Times New Roman" w:cs="Arial"/>
          <w:szCs w:val="22"/>
          <w:lang w:eastAsia="cs-CZ"/>
        </w:rPr>
        <w:t xml:space="preserve"> opatření“).</w:t>
      </w:r>
      <w:r w:rsidR="00BE2826" w:rsidRPr="00AA3B2A">
        <w:rPr>
          <w:rFonts w:eastAsia="Times New Roman" w:cs="Arial"/>
          <w:szCs w:val="22"/>
          <w:u w:val="single"/>
          <w:lang w:eastAsia="cs-CZ"/>
        </w:rPr>
        <w:t xml:space="preserve"> </w:t>
      </w:r>
      <w:r w:rsidR="00BE2826">
        <w:rPr>
          <w:rFonts w:eastAsia="Times New Roman" w:cs="Arial"/>
          <w:b/>
          <w:bCs/>
          <w:kern w:val="36"/>
          <w:szCs w:val="22"/>
          <w:lang w:eastAsia="cs-CZ"/>
        </w:rPr>
        <w:t xml:space="preserve"> </w:t>
      </w:r>
    </w:p>
    <w:p w:rsidR="00D5723F" w:rsidRDefault="00D5723F" w:rsidP="00D5723F">
      <w:pPr>
        <w:rPr>
          <w:rFonts w:eastAsia="Times New Roman" w:cs="Arial"/>
          <w:b/>
          <w:bCs/>
          <w:kern w:val="36"/>
          <w:szCs w:val="22"/>
          <w:lang w:eastAsia="cs-CZ"/>
        </w:rPr>
      </w:pPr>
    </w:p>
    <w:p w:rsidR="002B58DD" w:rsidRDefault="000D7C3C" w:rsidP="00D5723F">
      <w:pPr>
        <w:rPr>
          <w:rFonts w:eastAsia="Times New Roman" w:cs="Arial"/>
          <w:szCs w:val="22"/>
          <w:lang w:eastAsia="cs-CZ"/>
        </w:rPr>
      </w:pPr>
      <w:r>
        <w:rPr>
          <w:rFonts w:eastAsia="Times New Roman" w:cs="Arial"/>
          <w:b/>
          <w:szCs w:val="22"/>
          <w:lang w:eastAsia="cs-CZ"/>
        </w:rPr>
        <w:t>[</w:t>
      </w:r>
      <w:r w:rsidR="0061478A" w:rsidRPr="0061478A">
        <w:rPr>
          <w:rFonts w:eastAsia="Times New Roman" w:cs="Arial"/>
          <w:b/>
          <w:szCs w:val="22"/>
          <w:lang w:eastAsia="cs-CZ"/>
        </w:rPr>
        <w:t>subjekt a předmět daně</w:t>
      </w:r>
      <w:r>
        <w:rPr>
          <w:rFonts w:eastAsia="Times New Roman" w:cs="Arial"/>
          <w:b/>
          <w:szCs w:val="22"/>
          <w:lang w:eastAsia="cs-CZ"/>
        </w:rPr>
        <w:t>]</w:t>
      </w:r>
      <w:r w:rsidR="0061478A">
        <w:rPr>
          <w:rFonts w:eastAsia="Times New Roman" w:cs="Arial"/>
          <w:szCs w:val="22"/>
          <w:lang w:eastAsia="cs-CZ"/>
        </w:rPr>
        <w:t xml:space="preserve"> </w:t>
      </w:r>
      <w:r w:rsidR="002B58DD">
        <w:rPr>
          <w:rFonts w:eastAsia="Times New Roman" w:cs="Arial"/>
          <w:szCs w:val="22"/>
          <w:lang w:eastAsia="cs-CZ"/>
        </w:rPr>
        <w:t>Poplatník, kterému</w:t>
      </w:r>
      <w:r w:rsidR="002B58DD" w:rsidRPr="002B58DD">
        <w:rPr>
          <w:rFonts w:eastAsia="Times New Roman" w:cs="Arial"/>
          <w:szCs w:val="22"/>
          <w:lang w:eastAsia="cs-CZ"/>
        </w:rPr>
        <w:t xml:space="preserve"> </w:t>
      </w:r>
      <w:r w:rsidR="002B58DD">
        <w:rPr>
          <w:rFonts w:eastAsia="Times New Roman" w:cs="Arial"/>
          <w:szCs w:val="22"/>
          <w:lang w:eastAsia="cs-CZ"/>
        </w:rPr>
        <w:t xml:space="preserve">vznikla povinnost podat daňové přiznání k dani z nabytí nemovitých věcí z titulu </w:t>
      </w:r>
      <w:r w:rsidR="002B58DD" w:rsidRPr="00532F1D">
        <w:rPr>
          <w:rFonts w:eastAsia="Times New Roman" w:cs="Arial"/>
          <w:szCs w:val="22"/>
          <w:lang w:eastAsia="cs-CZ"/>
        </w:rPr>
        <w:t>první</w:t>
      </w:r>
      <w:r w:rsidR="002B58DD">
        <w:rPr>
          <w:rFonts w:eastAsia="Times New Roman" w:cs="Arial"/>
          <w:szCs w:val="22"/>
          <w:lang w:eastAsia="cs-CZ"/>
        </w:rPr>
        <w:t>ho</w:t>
      </w:r>
      <w:r w:rsidR="002B58DD" w:rsidRPr="00532F1D">
        <w:rPr>
          <w:rFonts w:eastAsia="Times New Roman" w:cs="Arial"/>
          <w:szCs w:val="22"/>
          <w:lang w:eastAsia="cs-CZ"/>
        </w:rPr>
        <w:t xml:space="preserve"> </w:t>
      </w:r>
      <w:r w:rsidR="002B58DD" w:rsidRPr="00675DB6">
        <w:rPr>
          <w:rFonts w:eastAsia="Times New Roman" w:cs="Arial"/>
          <w:b/>
          <w:szCs w:val="22"/>
          <w:u w:val="single"/>
          <w:lang w:eastAsia="cs-CZ"/>
        </w:rPr>
        <w:t>úplatného nabytí vlastnického práva k jednotce v rodinném domě</w:t>
      </w:r>
      <w:r w:rsidR="002B58DD">
        <w:rPr>
          <w:rFonts w:eastAsia="Times New Roman" w:cs="Arial"/>
          <w:szCs w:val="22"/>
          <w:lang w:eastAsia="cs-CZ"/>
        </w:rPr>
        <w:t xml:space="preserve"> podle § 32 písm. a) zákonného opatření</w:t>
      </w:r>
      <w:r w:rsidR="002B58DD" w:rsidRPr="00532F1D">
        <w:rPr>
          <w:rFonts w:eastAsia="Times New Roman" w:cs="Arial"/>
          <w:szCs w:val="22"/>
          <w:lang w:eastAsia="cs-CZ"/>
        </w:rPr>
        <w:t xml:space="preserve"> </w:t>
      </w:r>
      <w:r w:rsidR="002B58DD">
        <w:rPr>
          <w:rFonts w:eastAsia="Times New Roman" w:cs="Arial"/>
          <w:szCs w:val="22"/>
          <w:lang w:eastAsia="cs-CZ"/>
        </w:rPr>
        <w:t xml:space="preserve">a který si v daňovém přiznání </w:t>
      </w:r>
      <w:r w:rsidR="002B58DD" w:rsidRPr="00532F1D">
        <w:rPr>
          <w:rFonts w:eastAsia="Times New Roman" w:cs="Arial"/>
          <w:b/>
          <w:szCs w:val="22"/>
          <w:lang w:eastAsia="cs-CZ"/>
        </w:rPr>
        <w:t>nezákonně</w:t>
      </w:r>
      <w:r w:rsidR="002B58DD" w:rsidRPr="00532F1D">
        <w:rPr>
          <w:rFonts w:eastAsia="Times New Roman" w:cs="Arial"/>
          <w:szCs w:val="22"/>
          <w:lang w:eastAsia="cs-CZ"/>
        </w:rPr>
        <w:t xml:space="preserve"> </w:t>
      </w:r>
      <w:r w:rsidR="002B58DD" w:rsidRPr="00532F1D">
        <w:rPr>
          <w:rFonts w:eastAsia="Times New Roman" w:cs="Arial"/>
          <w:b/>
          <w:szCs w:val="22"/>
          <w:lang w:eastAsia="cs-CZ"/>
        </w:rPr>
        <w:t xml:space="preserve">uplatnil osvobození podle § 7 </w:t>
      </w:r>
      <w:r w:rsidR="002B58DD">
        <w:rPr>
          <w:rFonts w:eastAsia="Times New Roman" w:cs="Arial"/>
          <w:b/>
          <w:szCs w:val="22"/>
          <w:lang w:eastAsia="cs-CZ"/>
        </w:rPr>
        <w:t xml:space="preserve">odst. 1 písm. c) </w:t>
      </w:r>
      <w:r w:rsidR="002B58DD" w:rsidRPr="00532F1D">
        <w:rPr>
          <w:rFonts w:eastAsia="Times New Roman" w:cs="Arial"/>
          <w:b/>
          <w:szCs w:val="22"/>
          <w:lang w:eastAsia="cs-CZ"/>
        </w:rPr>
        <w:t>zákonného opatření</w:t>
      </w:r>
      <w:r w:rsidR="002B58DD" w:rsidRPr="00532F1D">
        <w:rPr>
          <w:rFonts w:eastAsia="Times New Roman" w:cs="Arial"/>
          <w:szCs w:val="22"/>
          <w:lang w:eastAsia="cs-CZ"/>
        </w:rPr>
        <w:t xml:space="preserve"> </w:t>
      </w:r>
    </w:p>
    <w:p w:rsidR="0067546C" w:rsidRDefault="0067546C" w:rsidP="00D5723F">
      <w:pPr>
        <w:rPr>
          <w:rFonts w:eastAsia="Times New Roman" w:cs="Arial"/>
          <w:b/>
          <w:szCs w:val="22"/>
          <w:lang w:eastAsia="cs-CZ"/>
        </w:rPr>
      </w:pPr>
    </w:p>
    <w:p w:rsidR="002B58DD" w:rsidRDefault="000D7C3C" w:rsidP="00D5723F">
      <w:pPr>
        <w:rPr>
          <w:rFonts w:eastAsia="Times New Roman" w:cs="Arial"/>
          <w:szCs w:val="22"/>
          <w:lang w:eastAsia="cs-CZ"/>
        </w:rPr>
      </w:pPr>
      <w:r>
        <w:rPr>
          <w:rFonts w:eastAsia="Times New Roman" w:cs="Arial"/>
          <w:b/>
          <w:szCs w:val="22"/>
          <w:lang w:eastAsia="cs-CZ"/>
        </w:rPr>
        <w:t>[</w:t>
      </w:r>
      <w:r w:rsidR="0061478A" w:rsidRPr="0061478A">
        <w:rPr>
          <w:rFonts w:eastAsia="Times New Roman" w:cs="Arial"/>
          <w:b/>
          <w:szCs w:val="22"/>
          <w:lang w:eastAsia="cs-CZ"/>
        </w:rPr>
        <w:t>období</w:t>
      </w:r>
      <w:r>
        <w:rPr>
          <w:rFonts w:eastAsia="Times New Roman" w:cs="Arial"/>
          <w:b/>
          <w:szCs w:val="22"/>
          <w:lang w:eastAsia="cs-CZ"/>
        </w:rPr>
        <w:t>]</w:t>
      </w:r>
      <w:r w:rsidR="0061478A">
        <w:rPr>
          <w:rFonts w:eastAsia="Times New Roman" w:cs="Arial"/>
          <w:szCs w:val="22"/>
          <w:lang w:eastAsia="cs-CZ"/>
        </w:rPr>
        <w:t xml:space="preserve"> Případy, u nichž lhůta pro podání přiznání k dani z nabytí nemovitých věcí končí nejpozději p</w:t>
      </w:r>
      <w:r w:rsidR="0061478A" w:rsidRPr="00D24CF4">
        <w:rPr>
          <w:rFonts w:eastAsia="Times New Roman" w:cs="Arial"/>
          <w:b/>
          <w:szCs w:val="22"/>
          <w:lang w:eastAsia="cs-CZ"/>
        </w:rPr>
        <w:t xml:space="preserve">oslední den měsíce následujícího po měsíci, v němž byla zveřejněna Informace </w:t>
      </w:r>
      <w:r w:rsidR="00BE2826" w:rsidRPr="00D24CF4">
        <w:rPr>
          <w:rFonts w:eastAsia="Times New Roman" w:cs="Arial"/>
          <w:b/>
          <w:szCs w:val="22"/>
          <w:lang w:eastAsia="cs-CZ"/>
        </w:rPr>
        <w:t>na úřední desce</w:t>
      </w:r>
      <w:r w:rsidR="00BE2826">
        <w:rPr>
          <w:rFonts w:eastAsia="Times New Roman" w:cs="Arial"/>
          <w:szCs w:val="22"/>
          <w:lang w:eastAsia="cs-CZ"/>
        </w:rPr>
        <w:t xml:space="preserve"> Generálního finančního ředitelství a způsobem umožňujícím dálkový přístup. </w:t>
      </w:r>
    </w:p>
    <w:p w:rsidR="00D5723F" w:rsidRDefault="00D5723F" w:rsidP="00D5723F">
      <w:pPr>
        <w:rPr>
          <w:rFonts w:eastAsia="Times New Roman" w:cs="Arial"/>
          <w:szCs w:val="22"/>
          <w:lang w:eastAsia="cs-CZ"/>
        </w:rPr>
      </w:pPr>
    </w:p>
    <w:p w:rsidR="002B58DD" w:rsidRDefault="000D7C3C" w:rsidP="00D5723F">
      <w:pPr>
        <w:rPr>
          <w:rFonts w:eastAsia="Times New Roman" w:cs="Arial"/>
          <w:b/>
          <w:szCs w:val="22"/>
          <w:lang w:eastAsia="cs-CZ"/>
        </w:rPr>
      </w:pPr>
      <w:r>
        <w:rPr>
          <w:rFonts w:eastAsia="Times New Roman" w:cs="Arial"/>
          <w:b/>
          <w:szCs w:val="22"/>
          <w:lang w:eastAsia="cs-CZ"/>
        </w:rPr>
        <w:t>[</w:t>
      </w:r>
      <w:r w:rsidR="00BE2826" w:rsidRPr="00BE2826">
        <w:rPr>
          <w:rFonts w:eastAsia="Times New Roman" w:cs="Arial"/>
          <w:b/>
          <w:szCs w:val="22"/>
          <w:lang w:eastAsia="cs-CZ"/>
        </w:rPr>
        <w:t>specifikace vzniku úroku</w:t>
      </w:r>
      <w:r>
        <w:rPr>
          <w:rFonts w:eastAsia="Times New Roman" w:cs="Arial"/>
          <w:b/>
          <w:szCs w:val="22"/>
          <w:lang w:eastAsia="cs-CZ"/>
        </w:rPr>
        <w:t>]</w:t>
      </w:r>
      <w:r w:rsidR="00BE2826">
        <w:rPr>
          <w:rFonts w:eastAsia="Times New Roman" w:cs="Arial"/>
          <w:szCs w:val="22"/>
          <w:lang w:eastAsia="cs-CZ"/>
        </w:rPr>
        <w:t xml:space="preserve"> </w:t>
      </w:r>
      <w:r w:rsidR="00E279C7" w:rsidRPr="00532F1D">
        <w:rPr>
          <w:rFonts w:eastAsia="Times New Roman" w:cs="Arial"/>
          <w:szCs w:val="22"/>
          <w:lang w:eastAsia="cs-CZ"/>
        </w:rPr>
        <w:t xml:space="preserve">V případech, kdy si </w:t>
      </w:r>
      <w:r w:rsidR="002B58DD">
        <w:rPr>
          <w:rFonts w:eastAsia="Times New Roman" w:cs="Arial"/>
          <w:szCs w:val="22"/>
          <w:lang w:eastAsia="cs-CZ"/>
        </w:rPr>
        <w:t>poplatník</w:t>
      </w:r>
      <w:r w:rsidR="00E279C7" w:rsidRPr="00532F1D">
        <w:rPr>
          <w:rFonts w:eastAsia="Times New Roman" w:cs="Arial"/>
          <w:szCs w:val="22"/>
          <w:lang w:eastAsia="cs-CZ"/>
        </w:rPr>
        <w:t xml:space="preserve"> </w:t>
      </w:r>
      <w:r w:rsidR="00E279C7" w:rsidRPr="00532F1D">
        <w:rPr>
          <w:rFonts w:eastAsia="Times New Roman" w:cs="Arial"/>
          <w:b/>
          <w:szCs w:val="22"/>
          <w:lang w:eastAsia="cs-CZ"/>
        </w:rPr>
        <w:t>nezákonně</w:t>
      </w:r>
      <w:r w:rsidR="00E279C7" w:rsidRPr="00532F1D">
        <w:rPr>
          <w:rFonts w:eastAsia="Times New Roman" w:cs="Arial"/>
          <w:szCs w:val="22"/>
          <w:lang w:eastAsia="cs-CZ"/>
        </w:rPr>
        <w:t xml:space="preserve"> </w:t>
      </w:r>
      <w:r w:rsidR="00E279C7" w:rsidRPr="00532F1D">
        <w:rPr>
          <w:rFonts w:eastAsia="Times New Roman" w:cs="Arial"/>
          <w:b/>
          <w:szCs w:val="22"/>
          <w:lang w:eastAsia="cs-CZ"/>
        </w:rPr>
        <w:t>uplatnil osvobození podle § 7 zákonného opatření</w:t>
      </w:r>
      <w:r w:rsidR="00E279C7" w:rsidRPr="00532F1D">
        <w:rPr>
          <w:rFonts w:eastAsia="Times New Roman" w:cs="Arial"/>
          <w:szCs w:val="22"/>
          <w:lang w:eastAsia="cs-CZ"/>
        </w:rPr>
        <w:t xml:space="preserve"> z titulu prvního </w:t>
      </w:r>
      <w:r w:rsidR="00E279C7" w:rsidRPr="00675DB6">
        <w:rPr>
          <w:rFonts w:eastAsia="Times New Roman" w:cs="Arial"/>
          <w:b/>
          <w:szCs w:val="22"/>
          <w:u w:val="single"/>
          <w:lang w:eastAsia="cs-CZ"/>
        </w:rPr>
        <w:t>úplatného nabytí vlastnického práva k jednotce v rodinném domě</w:t>
      </w:r>
      <w:r w:rsidR="00E279C7" w:rsidRPr="00532F1D">
        <w:rPr>
          <w:rFonts w:eastAsia="Times New Roman" w:cs="Arial"/>
          <w:szCs w:val="22"/>
          <w:lang w:eastAsia="cs-CZ"/>
        </w:rPr>
        <w:t xml:space="preserve"> </w:t>
      </w:r>
      <w:r w:rsidR="00E279C7" w:rsidRPr="00532F1D">
        <w:rPr>
          <w:rFonts w:eastAsia="Times New Roman" w:cs="Arial"/>
          <w:b/>
          <w:szCs w:val="22"/>
          <w:lang w:eastAsia="cs-CZ"/>
        </w:rPr>
        <w:t>a</w:t>
      </w:r>
      <w:r w:rsidR="00E279C7">
        <w:rPr>
          <w:rFonts w:eastAsia="Times New Roman" w:cs="Arial"/>
          <w:b/>
          <w:szCs w:val="22"/>
          <w:lang w:eastAsia="cs-CZ"/>
        </w:rPr>
        <w:t> </w:t>
      </w:r>
      <w:r w:rsidR="00E279C7" w:rsidRPr="00532F1D">
        <w:rPr>
          <w:rFonts w:eastAsia="Times New Roman" w:cs="Arial"/>
          <w:b/>
          <w:szCs w:val="22"/>
          <w:lang w:eastAsia="cs-CZ"/>
        </w:rPr>
        <w:t xml:space="preserve">následně </w:t>
      </w:r>
      <w:r w:rsidR="00E279C7">
        <w:rPr>
          <w:rFonts w:eastAsia="Times New Roman" w:cs="Arial"/>
          <w:b/>
          <w:szCs w:val="22"/>
          <w:lang w:eastAsia="cs-CZ"/>
        </w:rPr>
        <w:t xml:space="preserve"> </w:t>
      </w:r>
    </w:p>
    <w:p w:rsidR="009F0509" w:rsidRDefault="00E279C7" w:rsidP="00D5723F">
      <w:pPr>
        <w:pStyle w:val="Odstavecseseznamem"/>
        <w:numPr>
          <w:ilvl w:val="0"/>
          <w:numId w:val="13"/>
        </w:numPr>
      </w:pPr>
      <w:r w:rsidRPr="009F0509">
        <w:t xml:space="preserve">podal dodatečné daňové přiznání, ve kterém vyčíslil daň nebo zálohu, bez uplatnění shora uvedeného osvobození, nebo </w:t>
      </w:r>
    </w:p>
    <w:p w:rsidR="002B58DD" w:rsidRPr="009F0509" w:rsidRDefault="009F0509" w:rsidP="00D5723F">
      <w:pPr>
        <w:pStyle w:val="Odstavecseseznamem"/>
        <w:numPr>
          <w:ilvl w:val="0"/>
          <w:numId w:val="13"/>
        </w:numPr>
        <w:rPr>
          <w:specVanish/>
        </w:rPr>
      </w:pPr>
      <w:r>
        <w:t>poplatníkovi</w:t>
      </w:r>
      <w:r w:rsidRPr="009F0509">
        <w:t xml:space="preserve"> </w:t>
      </w:r>
      <w:r w:rsidR="00E279C7" w:rsidRPr="009F0509">
        <w:t xml:space="preserve">byla daň stanovena ve správné výši v rámci postupu k odstranění pochybností dle § </w:t>
      </w:r>
      <w:r w:rsidR="00CB7D72" w:rsidRPr="009F0509">
        <w:t>89 a §</w:t>
      </w:r>
      <w:r w:rsidR="00F85454" w:rsidRPr="009F0509">
        <w:t xml:space="preserve"> </w:t>
      </w:r>
      <w:r w:rsidR="00CB7D72" w:rsidRPr="009F0509">
        <w:t>90 zákona č. 280/2009 Sb., daňový řád, ve znění pozdějších předpisů (dále jen „daňový řád“) či přezkumného řízení dle § 121 a násl. daňového řádu,</w:t>
      </w:r>
      <w:r w:rsidR="00E279C7" w:rsidRPr="009F0509">
        <w:t xml:space="preserve"> </w:t>
      </w:r>
    </w:p>
    <w:p w:rsidR="002B58DD" w:rsidRPr="009F0509" w:rsidRDefault="002B58DD" w:rsidP="00D5723F"/>
    <w:p w:rsidR="00CB7D72" w:rsidRPr="002B58DD" w:rsidRDefault="00E279C7" w:rsidP="00D5723F">
      <w:pPr>
        <w:rPr>
          <w:rFonts w:eastAsia="Times New Roman" w:cs="Arial"/>
          <w:vanish/>
          <w:szCs w:val="22"/>
          <w:lang w:eastAsia="cs-CZ"/>
          <w:specVanish/>
        </w:rPr>
      </w:pPr>
      <w:r w:rsidRPr="002B58DD">
        <w:rPr>
          <w:rFonts w:eastAsia="Times New Roman" w:cs="Arial"/>
          <w:b/>
          <w:szCs w:val="22"/>
          <w:lang w:eastAsia="cs-CZ"/>
        </w:rPr>
        <w:t xml:space="preserve">vzniká </w:t>
      </w:r>
      <w:r w:rsidR="009F0509">
        <w:rPr>
          <w:rFonts w:eastAsia="Times New Roman" w:cs="Arial"/>
          <w:szCs w:val="22"/>
          <w:lang w:eastAsia="cs-CZ"/>
        </w:rPr>
        <w:t xml:space="preserve">poplatníkovi </w:t>
      </w:r>
      <w:r w:rsidRPr="002B58DD">
        <w:rPr>
          <w:rFonts w:eastAsia="Times New Roman" w:cs="Arial"/>
          <w:b/>
          <w:szCs w:val="22"/>
          <w:lang w:eastAsia="cs-CZ"/>
        </w:rPr>
        <w:t>povinnost uhradit úrok z prodlení</w:t>
      </w:r>
      <w:r w:rsidRPr="002B58DD">
        <w:rPr>
          <w:rFonts w:eastAsia="Times New Roman" w:cs="Arial"/>
          <w:szCs w:val="22"/>
          <w:lang w:eastAsia="cs-CZ"/>
        </w:rPr>
        <w:t xml:space="preserve"> podle § 252</w:t>
      </w:r>
      <w:r w:rsidR="00CB7D72" w:rsidRPr="002B58DD">
        <w:rPr>
          <w:rFonts w:eastAsia="Times New Roman" w:cs="Arial"/>
          <w:szCs w:val="22"/>
          <w:lang w:eastAsia="cs-CZ"/>
        </w:rPr>
        <w:t xml:space="preserve"> daňového řádu</w:t>
      </w:r>
      <w:r w:rsidRPr="002B58DD">
        <w:rPr>
          <w:rFonts w:eastAsia="Times New Roman" w:cs="Arial"/>
          <w:szCs w:val="22"/>
          <w:lang w:eastAsia="cs-CZ"/>
        </w:rPr>
        <w:t xml:space="preserve"> za každý den prodlení, počínaje pátým pracovním dnem následujícím po původním dni splatnosti až do dne platby včetně. </w:t>
      </w:r>
      <w:r w:rsidR="00CB7D72" w:rsidRPr="002B58DD">
        <w:rPr>
          <w:rFonts w:eastAsia="Times New Roman" w:cs="Arial"/>
          <w:szCs w:val="22"/>
          <w:lang w:eastAsia="cs-CZ"/>
        </w:rPr>
        <w:t xml:space="preserve">Výše úroku z prodlení odpovídá ročně výši </w:t>
      </w:r>
      <w:proofErr w:type="spellStart"/>
      <w:r w:rsidR="00CB7D72" w:rsidRPr="002B58DD">
        <w:rPr>
          <w:rFonts w:eastAsia="Times New Roman" w:cs="Arial"/>
          <w:szCs w:val="22"/>
          <w:lang w:eastAsia="cs-CZ"/>
        </w:rPr>
        <w:t>repo</w:t>
      </w:r>
      <w:proofErr w:type="spellEnd"/>
      <w:r w:rsidR="00CB7D72" w:rsidRPr="002B58DD">
        <w:rPr>
          <w:rFonts w:eastAsia="Times New Roman" w:cs="Arial"/>
          <w:szCs w:val="22"/>
          <w:lang w:eastAsia="cs-CZ"/>
        </w:rPr>
        <w:t xml:space="preserve"> sazby stanovené Českou národní bankou, zvýšené o 14 procentních bodů, platné pro první den příslušného kalendářního pololetí. Pokud je pro daň stanoven náhradní den splatnosti, běží úrok z prodlení počínaje pátým pracovním dnem následujícím po původním dni její splatnosti. </w:t>
      </w:r>
      <w:r w:rsidRPr="002B58DD">
        <w:rPr>
          <w:rFonts w:eastAsia="Times New Roman" w:cs="Arial"/>
          <w:szCs w:val="22"/>
          <w:lang w:eastAsia="cs-CZ"/>
        </w:rPr>
        <w:t xml:space="preserve">Penále podle § 251 daňového řádu v daném případě nevzniká. </w:t>
      </w:r>
    </w:p>
    <w:p w:rsidR="00CB7D72" w:rsidRDefault="00F85454" w:rsidP="00D5723F">
      <w:pPr>
        <w:rPr>
          <w:rFonts w:eastAsia="Times New Roman" w:cs="Arial"/>
          <w:szCs w:val="22"/>
          <w:lang w:eastAsia="cs-CZ"/>
        </w:rPr>
      </w:pPr>
      <w:r>
        <w:rPr>
          <w:rFonts w:eastAsia="Times New Roman" w:cs="Arial"/>
          <w:szCs w:val="22"/>
          <w:lang w:eastAsia="cs-CZ"/>
        </w:rPr>
        <w:t xml:space="preserve"> </w:t>
      </w:r>
    </w:p>
    <w:p w:rsidR="00BE2826" w:rsidRDefault="00BE2826" w:rsidP="00D5723F">
      <w:pPr>
        <w:rPr>
          <w:rFonts w:eastAsia="Times New Roman" w:cs="Arial"/>
          <w:szCs w:val="22"/>
          <w:lang w:eastAsia="cs-CZ"/>
        </w:rPr>
      </w:pPr>
    </w:p>
    <w:p w:rsidR="00E279C7" w:rsidRPr="00532F1D" w:rsidRDefault="00422420" w:rsidP="00D5723F">
      <w:pPr>
        <w:rPr>
          <w:rFonts w:eastAsia="Times New Roman" w:cs="Arial"/>
          <w:szCs w:val="22"/>
          <w:lang w:eastAsia="cs-CZ"/>
        </w:rPr>
      </w:pPr>
      <w:r>
        <w:rPr>
          <w:rFonts w:eastAsia="Times New Roman" w:cs="Arial"/>
          <w:b/>
          <w:szCs w:val="22"/>
          <w:lang w:eastAsia="cs-CZ"/>
        </w:rPr>
        <w:t>[</w:t>
      </w:r>
      <w:r w:rsidR="00FF09FF" w:rsidRPr="00FF09FF">
        <w:rPr>
          <w:rFonts w:eastAsia="Times New Roman" w:cs="Arial"/>
          <w:b/>
          <w:szCs w:val="22"/>
          <w:lang w:eastAsia="cs-CZ"/>
        </w:rPr>
        <w:t>prominutí úroku</w:t>
      </w:r>
      <w:r>
        <w:rPr>
          <w:rFonts w:eastAsia="Times New Roman" w:cs="Arial"/>
          <w:b/>
          <w:szCs w:val="22"/>
          <w:lang w:eastAsia="cs-CZ"/>
        </w:rPr>
        <w:t>]</w:t>
      </w:r>
      <w:r w:rsidR="00FF09FF">
        <w:rPr>
          <w:rFonts w:eastAsia="Times New Roman" w:cs="Arial"/>
          <w:szCs w:val="22"/>
          <w:lang w:eastAsia="cs-CZ"/>
        </w:rPr>
        <w:t xml:space="preserve"> Při vzniku úroku ve výše uvedených případech</w:t>
      </w:r>
      <w:r w:rsidR="00E279C7" w:rsidRPr="00532F1D">
        <w:rPr>
          <w:rFonts w:eastAsia="Times New Roman" w:cs="Arial"/>
          <w:szCs w:val="22"/>
          <w:lang w:eastAsia="cs-CZ"/>
        </w:rPr>
        <w:t xml:space="preserve"> může daňový subjekt požádat o prominutí úroku z prodlení podle § 259 a násl. daňového řádu v souladu s</w:t>
      </w:r>
      <w:r w:rsidR="009F0509">
        <w:rPr>
          <w:rFonts w:eastAsia="Times New Roman" w:cs="Arial"/>
          <w:szCs w:val="22"/>
          <w:lang w:eastAsia="cs-CZ"/>
        </w:rPr>
        <w:t> </w:t>
      </w:r>
      <w:r w:rsidR="00E279C7" w:rsidRPr="00532F1D">
        <w:rPr>
          <w:rFonts w:eastAsia="Times New Roman" w:cs="Arial"/>
          <w:szCs w:val="22"/>
          <w:lang w:eastAsia="cs-CZ"/>
        </w:rPr>
        <w:t xml:space="preserve">Pokynem GFŘ-D-21 k promíjení příslušenství daně (dále jen „Pokyn“), jehož znění lze nalézt ve </w:t>
      </w:r>
      <w:hyperlink r:id="rId7" w:tooltip="FZ 2/2015" w:history="1">
        <w:r w:rsidR="00E279C7" w:rsidRPr="00532F1D">
          <w:rPr>
            <w:rFonts w:eastAsia="Times New Roman" w:cs="Arial"/>
            <w:color w:val="0000FF"/>
            <w:szCs w:val="22"/>
            <w:u w:val="single"/>
            <w:lang w:eastAsia="cs-CZ"/>
          </w:rPr>
          <w:t>Finančním zpravodaji č. 2/2015</w:t>
        </w:r>
      </w:hyperlink>
      <w:r w:rsidR="00E279C7" w:rsidRPr="00532F1D">
        <w:rPr>
          <w:rFonts w:eastAsia="Times New Roman" w:cs="Arial"/>
          <w:szCs w:val="22"/>
          <w:lang w:eastAsia="cs-CZ"/>
        </w:rPr>
        <w:t xml:space="preserve"> či na </w:t>
      </w:r>
      <w:hyperlink r:id="rId8" w:tooltip="Pokyn GFŘ D-21" w:history="1">
        <w:r w:rsidR="00E279C7" w:rsidRPr="00532F1D">
          <w:rPr>
            <w:rFonts w:eastAsia="Times New Roman" w:cs="Arial"/>
            <w:color w:val="0000FF"/>
            <w:szCs w:val="22"/>
            <w:u w:val="single"/>
            <w:lang w:eastAsia="cs-CZ"/>
          </w:rPr>
          <w:t>webových stránkách Finanční správy České republiky</w:t>
        </w:r>
      </w:hyperlink>
      <w:r w:rsidR="00E279C7" w:rsidRPr="00532F1D">
        <w:rPr>
          <w:rFonts w:eastAsia="Times New Roman" w:cs="Arial"/>
          <w:szCs w:val="22"/>
          <w:lang w:eastAsia="cs-CZ"/>
        </w:rPr>
        <w:t>.</w:t>
      </w:r>
    </w:p>
    <w:p w:rsidR="00CB7D72" w:rsidRDefault="00CB7D72" w:rsidP="00D5723F">
      <w:pPr>
        <w:rPr>
          <w:rFonts w:eastAsia="Times New Roman" w:cs="Arial"/>
          <w:b/>
          <w:szCs w:val="22"/>
          <w:lang w:eastAsia="cs-CZ"/>
        </w:rPr>
      </w:pPr>
    </w:p>
    <w:p w:rsidR="00F4731A" w:rsidRPr="003243CE" w:rsidRDefault="00702E5B" w:rsidP="00D5723F">
      <w:pPr>
        <w:rPr>
          <w:rFonts w:eastAsia="Times New Roman" w:cs="Arial"/>
          <w:b/>
          <w:szCs w:val="22"/>
          <w:u w:val="single"/>
          <w:lang w:eastAsia="cs-CZ"/>
        </w:rPr>
      </w:pPr>
      <w:r w:rsidRPr="003243CE">
        <w:rPr>
          <w:rFonts w:eastAsia="Times New Roman" w:cs="Arial"/>
          <w:b/>
          <w:szCs w:val="22"/>
          <w:u w:val="single"/>
          <w:lang w:eastAsia="cs-CZ"/>
        </w:rPr>
        <w:t>Obecné podmínky pro prominutí příslušenství daně</w:t>
      </w:r>
    </w:p>
    <w:p w:rsidR="00B94B7A" w:rsidRDefault="00B94B7A" w:rsidP="00D5723F">
      <w:pPr>
        <w:outlineLvl w:val="2"/>
        <w:rPr>
          <w:rFonts w:eastAsia="Times New Roman" w:cs="Arial"/>
          <w:szCs w:val="22"/>
          <w:lang w:eastAsia="cs-CZ"/>
        </w:rPr>
      </w:pPr>
      <w:r w:rsidRPr="00ED35C4">
        <w:rPr>
          <w:rFonts w:eastAsia="Times New Roman" w:cs="Arial"/>
          <w:szCs w:val="22"/>
          <w:lang w:eastAsia="cs-CZ"/>
        </w:rPr>
        <w:t>Dle čl. VII. části čtvrté zákona č. 267/2014 Sb. bodu 4 lze žádat o prominutí úroku z</w:t>
      </w:r>
      <w:r>
        <w:rPr>
          <w:rFonts w:eastAsia="Times New Roman" w:cs="Arial"/>
          <w:szCs w:val="22"/>
          <w:lang w:eastAsia="cs-CZ"/>
        </w:rPr>
        <w:t> </w:t>
      </w:r>
      <w:r w:rsidRPr="00ED35C4">
        <w:rPr>
          <w:rFonts w:eastAsia="Times New Roman" w:cs="Arial"/>
          <w:szCs w:val="22"/>
          <w:lang w:eastAsia="cs-CZ"/>
        </w:rPr>
        <w:t xml:space="preserve">prodlení nebo úroku z posečkané částky pouze v případě úroku </w:t>
      </w:r>
      <w:r w:rsidRPr="003243CE">
        <w:rPr>
          <w:rFonts w:eastAsia="Times New Roman" w:cs="Arial"/>
          <w:b/>
          <w:szCs w:val="22"/>
          <w:u w:val="single"/>
          <w:lang w:eastAsia="cs-CZ"/>
        </w:rPr>
        <w:t>vzniklého ode dne 1. 1. 2015</w:t>
      </w:r>
      <w:r w:rsidRPr="00ED35C4">
        <w:rPr>
          <w:rFonts w:eastAsia="Times New Roman" w:cs="Arial"/>
          <w:szCs w:val="22"/>
          <w:lang w:eastAsia="cs-CZ"/>
        </w:rPr>
        <w:t>. Úroky vzniklé před tímto datem nelze prominout.</w:t>
      </w:r>
    </w:p>
    <w:p w:rsidR="00532F1D" w:rsidRPr="00ED35C4" w:rsidRDefault="00532F1D" w:rsidP="00D5723F">
      <w:pPr>
        <w:outlineLvl w:val="2"/>
        <w:rPr>
          <w:rFonts w:eastAsia="Times New Roman" w:cs="Arial"/>
          <w:szCs w:val="22"/>
          <w:lang w:eastAsia="cs-CZ"/>
        </w:rPr>
      </w:pPr>
    </w:p>
    <w:p w:rsidR="00F4731A" w:rsidRDefault="00F4731A" w:rsidP="00D5723F">
      <w:pPr>
        <w:rPr>
          <w:rFonts w:eastAsia="Times New Roman" w:cs="Arial"/>
          <w:szCs w:val="22"/>
          <w:lang w:eastAsia="cs-CZ"/>
        </w:rPr>
      </w:pPr>
      <w:r>
        <w:rPr>
          <w:rFonts w:eastAsia="Times New Roman" w:cs="Arial"/>
          <w:szCs w:val="22"/>
          <w:lang w:eastAsia="cs-CZ"/>
        </w:rPr>
        <w:t>V obecné rovině žádost o prominutí daně správce daně posuzuje následovně:</w:t>
      </w:r>
    </w:p>
    <w:p w:rsidR="00E279C7" w:rsidRDefault="000A671E" w:rsidP="00D5723F">
      <w:pPr>
        <w:numPr>
          <w:ilvl w:val="0"/>
          <w:numId w:val="4"/>
        </w:numPr>
        <w:ind w:left="357" w:hanging="357"/>
        <w:rPr>
          <w:rFonts w:eastAsia="Times New Roman" w:cs="Arial"/>
          <w:szCs w:val="22"/>
          <w:lang w:eastAsia="cs-CZ"/>
        </w:rPr>
      </w:pPr>
      <w:r w:rsidRPr="00E279C7">
        <w:rPr>
          <w:rFonts w:eastAsia="Times New Roman" w:cs="Arial"/>
          <w:szCs w:val="22"/>
          <w:lang w:eastAsia="cs-CZ"/>
        </w:rPr>
        <w:lastRenderedPageBreak/>
        <w:t>Správce daně prozkoumá, zda u daňového subjektu nenastaly okolnosti závažného porušení daňových nebo účetních předpisů podle § 259c odst. 2 daňového řádu, pro které by bylo nutné žádost bez dalšího zamítnout. Definice závažného porušení daňových nebo účetních předpisů je uvedena v čl. III. 2. A. Pokynu.</w:t>
      </w:r>
    </w:p>
    <w:p w:rsidR="00944CBD" w:rsidRPr="00E279C7" w:rsidRDefault="000A671E" w:rsidP="00D5723F">
      <w:pPr>
        <w:numPr>
          <w:ilvl w:val="0"/>
          <w:numId w:val="4"/>
        </w:numPr>
        <w:ind w:left="357" w:hanging="357"/>
        <w:rPr>
          <w:rFonts w:eastAsia="Times New Roman" w:cs="Arial"/>
          <w:szCs w:val="22"/>
          <w:lang w:eastAsia="cs-CZ"/>
        </w:rPr>
      </w:pPr>
      <w:r w:rsidRPr="00E279C7">
        <w:rPr>
          <w:rFonts w:eastAsia="Times New Roman" w:cs="Arial"/>
          <w:szCs w:val="22"/>
          <w:lang w:eastAsia="cs-CZ"/>
        </w:rPr>
        <w:t>Pro možnost prominout úroky z prodlení nebo úroky z posečkané částky musí být naplněn některý z ospravedlnitelných důvodů prodlení, jak to vyžaduje § 259b odst. 2 daňového řádu. Tyto ospravedlnitelné důvody jsou stanoveny v čl. III. 3. A. Pokynu</w:t>
      </w:r>
      <w:r w:rsidR="00944CBD" w:rsidRPr="00E279C7">
        <w:rPr>
          <w:rFonts w:eastAsia="Times New Roman" w:cs="Arial"/>
          <w:szCs w:val="22"/>
          <w:lang w:eastAsia="cs-CZ"/>
        </w:rPr>
        <w:t>.</w:t>
      </w:r>
    </w:p>
    <w:p w:rsidR="00944CBD" w:rsidRPr="00BC103C" w:rsidRDefault="000A671E" w:rsidP="00D5723F">
      <w:pPr>
        <w:rPr>
          <w:rFonts w:cs="Arial"/>
        </w:rPr>
      </w:pPr>
      <w:r w:rsidRPr="00ED35C4">
        <w:rPr>
          <w:rFonts w:eastAsia="Times New Roman" w:cs="Arial"/>
          <w:szCs w:val="22"/>
          <w:lang w:eastAsia="cs-CZ"/>
        </w:rPr>
        <w:t xml:space="preserve"> </w:t>
      </w:r>
    </w:p>
    <w:p w:rsidR="00944CBD" w:rsidRDefault="00944CBD" w:rsidP="00D5723F">
      <w:pPr>
        <w:rPr>
          <w:rFonts w:eastAsia="Times New Roman" w:cs="Arial"/>
          <w:lang w:eastAsia="cs-CZ"/>
        </w:rPr>
      </w:pPr>
      <w:r w:rsidRPr="00E279C7">
        <w:rPr>
          <w:rFonts w:cs="Arial"/>
          <w:b/>
        </w:rPr>
        <w:t xml:space="preserve">Nad rámec </w:t>
      </w:r>
      <w:r w:rsidRPr="00E279C7">
        <w:rPr>
          <w:rFonts w:eastAsia="Times New Roman" w:cs="Arial"/>
          <w:b/>
          <w:szCs w:val="22"/>
          <w:lang w:eastAsia="cs-CZ"/>
        </w:rPr>
        <w:t>Pokynu</w:t>
      </w:r>
      <w:r w:rsidRPr="00BC103C">
        <w:rPr>
          <w:rFonts w:eastAsia="Times New Roman" w:cs="Arial"/>
          <w:lang w:eastAsia="cs-CZ"/>
        </w:rPr>
        <w:t xml:space="preserve"> </w:t>
      </w:r>
      <w:r w:rsidRPr="006B1576">
        <w:rPr>
          <w:rFonts w:eastAsia="Times New Roman" w:cs="Arial"/>
          <w:b/>
          <w:u w:val="single"/>
          <w:lang w:eastAsia="cs-CZ"/>
        </w:rPr>
        <w:t xml:space="preserve">lze </w:t>
      </w:r>
      <w:r w:rsidR="000D7C3C" w:rsidRPr="006B1576">
        <w:rPr>
          <w:rFonts w:eastAsia="Times New Roman" w:cs="Arial"/>
          <w:b/>
          <w:u w:val="single"/>
          <w:lang w:eastAsia="cs-CZ"/>
        </w:rPr>
        <w:t>ve shora jednoznačně vymezených případech</w:t>
      </w:r>
      <w:r w:rsidRPr="006B1576">
        <w:rPr>
          <w:rFonts w:eastAsia="Times New Roman" w:cs="Arial"/>
          <w:b/>
          <w:u w:val="single"/>
          <w:lang w:eastAsia="cs-CZ"/>
        </w:rPr>
        <w:t xml:space="preserve"> spatřovat</w:t>
      </w:r>
      <w:r>
        <w:rPr>
          <w:rFonts w:eastAsia="Times New Roman" w:cs="Arial"/>
          <w:lang w:eastAsia="cs-CZ"/>
        </w:rPr>
        <w:t xml:space="preserve"> </w:t>
      </w:r>
      <w:r w:rsidRPr="00E279C7">
        <w:rPr>
          <w:rFonts w:eastAsia="Times New Roman" w:cs="Arial"/>
          <w:b/>
          <w:szCs w:val="22"/>
          <w:lang w:eastAsia="cs-CZ"/>
        </w:rPr>
        <w:t>ospravedlniteln</w:t>
      </w:r>
      <w:r w:rsidR="00261453">
        <w:rPr>
          <w:rFonts w:eastAsia="Times New Roman" w:cs="Arial"/>
          <w:b/>
          <w:lang w:eastAsia="cs-CZ"/>
        </w:rPr>
        <w:t>ý</w:t>
      </w:r>
      <w:r w:rsidRPr="00E279C7">
        <w:rPr>
          <w:rFonts w:eastAsia="Times New Roman" w:cs="Arial"/>
          <w:b/>
          <w:lang w:eastAsia="cs-CZ"/>
        </w:rPr>
        <w:t xml:space="preserve"> důvod</w:t>
      </w:r>
      <w:r w:rsidR="00261453">
        <w:rPr>
          <w:rFonts w:eastAsia="Times New Roman" w:cs="Arial"/>
          <w:b/>
          <w:lang w:eastAsia="cs-CZ"/>
        </w:rPr>
        <w:t xml:space="preserve"> prodlení</w:t>
      </w:r>
      <w:r>
        <w:rPr>
          <w:rFonts w:eastAsia="Times New Roman" w:cs="Arial"/>
          <w:lang w:eastAsia="cs-CZ"/>
        </w:rPr>
        <w:t xml:space="preserve"> i v t</w:t>
      </w:r>
      <w:r w:rsidR="00261453">
        <w:rPr>
          <w:rFonts w:eastAsia="Times New Roman" w:cs="Arial"/>
          <w:lang w:eastAsia="cs-CZ"/>
        </w:rPr>
        <w:t>éto</w:t>
      </w:r>
      <w:r>
        <w:rPr>
          <w:rFonts w:eastAsia="Times New Roman" w:cs="Arial"/>
          <w:lang w:eastAsia="cs-CZ"/>
        </w:rPr>
        <w:t xml:space="preserve"> okolnost</w:t>
      </w:r>
      <w:r w:rsidR="00261453">
        <w:rPr>
          <w:rFonts w:eastAsia="Times New Roman" w:cs="Arial"/>
          <w:lang w:eastAsia="cs-CZ"/>
        </w:rPr>
        <w:t>i</w:t>
      </w:r>
      <w:r>
        <w:rPr>
          <w:rFonts w:eastAsia="Times New Roman" w:cs="Arial"/>
          <w:lang w:eastAsia="cs-CZ"/>
        </w:rPr>
        <w:t>:</w:t>
      </w:r>
    </w:p>
    <w:p w:rsidR="00261453" w:rsidRDefault="00261453" w:rsidP="00D5723F">
      <w:pPr>
        <w:rPr>
          <w:rFonts w:eastAsia="Times New Roman" w:cs="Arial"/>
          <w:lang w:eastAsia="cs-CZ"/>
        </w:rPr>
      </w:pPr>
    </w:p>
    <w:tbl>
      <w:tblPr>
        <w:tblStyle w:val="Mkatabulky"/>
        <w:tblW w:w="0" w:type="auto"/>
        <w:tblLook w:val="04A0" w:firstRow="1" w:lastRow="0" w:firstColumn="1" w:lastColumn="0" w:noHBand="0" w:noVBand="1"/>
      </w:tblPr>
      <w:tblGrid>
        <w:gridCol w:w="7479"/>
        <w:gridCol w:w="1733"/>
      </w:tblGrid>
      <w:tr w:rsidR="00261453" w:rsidTr="00261453">
        <w:tc>
          <w:tcPr>
            <w:tcW w:w="7479" w:type="dxa"/>
          </w:tcPr>
          <w:p w:rsidR="00261453" w:rsidRPr="003243CE" w:rsidRDefault="00261453" w:rsidP="00D5723F">
            <w:pPr>
              <w:rPr>
                <w:b/>
              </w:rPr>
            </w:pPr>
            <w:r w:rsidRPr="00261453">
              <w:rPr>
                <w:b/>
              </w:rPr>
              <w:t>Ospravedlnitelný důvod prodlení</w:t>
            </w:r>
          </w:p>
        </w:tc>
        <w:tc>
          <w:tcPr>
            <w:tcW w:w="1733" w:type="dxa"/>
          </w:tcPr>
          <w:p w:rsidR="00261453" w:rsidRPr="00261453" w:rsidRDefault="00261453" w:rsidP="00D5723F">
            <w:pPr>
              <w:rPr>
                <w:b/>
              </w:rPr>
            </w:pPr>
            <w:r w:rsidRPr="00261453">
              <w:rPr>
                <w:b/>
              </w:rPr>
              <w:t>Procentuální</w:t>
            </w:r>
          </w:p>
          <w:p w:rsidR="00261453" w:rsidRDefault="00261453" w:rsidP="00D5723F">
            <w:pPr>
              <w:rPr>
                <w:rFonts w:eastAsia="Times New Roman" w:cs="Arial"/>
                <w:lang w:eastAsia="cs-CZ"/>
              </w:rPr>
            </w:pPr>
            <w:r w:rsidRPr="00261453">
              <w:rPr>
                <w:b/>
              </w:rPr>
              <w:t>ohodnocení</w:t>
            </w:r>
          </w:p>
        </w:tc>
      </w:tr>
      <w:tr w:rsidR="00261453" w:rsidTr="003243CE">
        <w:tc>
          <w:tcPr>
            <w:tcW w:w="7479" w:type="dxa"/>
          </w:tcPr>
          <w:p w:rsidR="00261453" w:rsidRPr="003243CE" w:rsidRDefault="00261453" w:rsidP="00D5723F">
            <w:pPr>
              <w:rPr>
                <w:rFonts w:eastAsia="Times New Roman" w:cs="Arial"/>
                <w:lang w:val="en-US" w:eastAsia="cs-CZ"/>
              </w:rPr>
            </w:pPr>
            <w:r w:rsidRPr="003243CE">
              <w:rPr>
                <w:b/>
              </w:rPr>
              <w:t>Správce daně akceptoval poplatníkem v daňovém přiznání k dani z nabytí nemovitých věcí nesprávně uplatněné osvobození podle § 7 zákonného opatření</w:t>
            </w:r>
            <w:r w:rsidR="00C44713">
              <w:rPr>
                <w:b/>
              </w:rPr>
              <w:t xml:space="preserve"> </w:t>
            </w:r>
            <w:r w:rsidR="008C71A3">
              <w:rPr>
                <w:b/>
              </w:rPr>
              <w:t xml:space="preserve">Senátu č. 340/2013 Sb., o dani z nabytí nemovitých věcí, v platném znění, </w:t>
            </w:r>
            <w:r w:rsidR="00C44713">
              <w:rPr>
                <w:b/>
              </w:rPr>
              <w:t>při nabytí vlastnického práva k jednotce v rodinném domě</w:t>
            </w:r>
            <w:r w:rsidR="00BD6D6F">
              <w:rPr>
                <w:b/>
              </w:rPr>
              <w:t>.</w:t>
            </w:r>
            <w:r w:rsidR="00C44713">
              <w:rPr>
                <w:b/>
              </w:rPr>
              <w:t xml:space="preserve"> </w:t>
            </w:r>
          </w:p>
        </w:tc>
        <w:tc>
          <w:tcPr>
            <w:tcW w:w="1733" w:type="dxa"/>
            <w:vAlign w:val="center"/>
          </w:tcPr>
          <w:p w:rsidR="00261453" w:rsidRDefault="00261453" w:rsidP="00D5723F">
            <w:pPr>
              <w:jc w:val="center"/>
              <w:rPr>
                <w:rFonts w:eastAsia="Times New Roman" w:cs="Arial"/>
                <w:lang w:eastAsia="cs-CZ"/>
              </w:rPr>
            </w:pPr>
            <w:r>
              <w:rPr>
                <w:rFonts w:eastAsia="Times New Roman" w:cs="Arial"/>
                <w:lang w:eastAsia="cs-CZ"/>
              </w:rPr>
              <w:t>100 %</w:t>
            </w:r>
          </w:p>
        </w:tc>
      </w:tr>
    </w:tbl>
    <w:p w:rsidR="00261453" w:rsidRDefault="00261453" w:rsidP="00D5723F">
      <w:pPr>
        <w:rPr>
          <w:rFonts w:eastAsia="Times New Roman" w:cs="Arial"/>
          <w:lang w:eastAsia="cs-CZ"/>
        </w:rPr>
      </w:pPr>
    </w:p>
    <w:p w:rsidR="00BD6D6F" w:rsidRDefault="00C71723" w:rsidP="00D5723F">
      <w:pPr>
        <w:rPr>
          <w:rFonts w:eastAsia="Times New Roman" w:cs="Arial"/>
          <w:szCs w:val="22"/>
          <w:lang w:eastAsia="cs-CZ"/>
        </w:rPr>
      </w:pPr>
      <w:r>
        <w:rPr>
          <w:rFonts w:eastAsia="Times New Roman" w:cs="Arial"/>
          <w:szCs w:val="22"/>
          <w:lang w:eastAsia="cs-CZ"/>
        </w:rPr>
        <w:t>Finanční správa přistoupila k</w:t>
      </w:r>
      <w:r w:rsidR="006232A2">
        <w:rPr>
          <w:rFonts w:eastAsia="Times New Roman" w:cs="Arial"/>
          <w:szCs w:val="22"/>
          <w:lang w:eastAsia="cs-CZ"/>
        </w:rPr>
        <w:t xml:space="preserve"> vymezení tohoto </w:t>
      </w:r>
      <w:r>
        <w:rPr>
          <w:rFonts w:eastAsia="Times New Roman" w:cs="Arial"/>
          <w:szCs w:val="22"/>
          <w:lang w:eastAsia="cs-CZ"/>
        </w:rPr>
        <w:t>časově a věcně omezené</w:t>
      </w:r>
      <w:r w:rsidR="006232A2">
        <w:rPr>
          <w:rFonts w:eastAsia="Times New Roman" w:cs="Arial"/>
          <w:szCs w:val="22"/>
          <w:lang w:eastAsia="cs-CZ"/>
        </w:rPr>
        <w:t>ho</w:t>
      </w:r>
      <w:r>
        <w:rPr>
          <w:rFonts w:eastAsia="Times New Roman" w:cs="Arial"/>
          <w:szCs w:val="22"/>
          <w:lang w:eastAsia="cs-CZ"/>
        </w:rPr>
        <w:t xml:space="preserve"> osprave</w:t>
      </w:r>
      <w:r w:rsidR="00513900">
        <w:rPr>
          <w:rFonts w:eastAsia="Times New Roman" w:cs="Arial"/>
          <w:szCs w:val="22"/>
          <w:lang w:eastAsia="cs-CZ"/>
        </w:rPr>
        <w:t>dlni</w:t>
      </w:r>
      <w:r>
        <w:rPr>
          <w:rFonts w:eastAsia="Times New Roman" w:cs="Arial"/>
          <w:szCs w:val="22"/>
          <w:lang w:eastAsia="cs-CZ"/>
        </w:rPr>
        <w:t>telné</w:t>
      </w:r>
      <w:r w:rsidR="006232A2">
        <w:rPr>
          <w:rFonts w:eastAsia="Times New Roman" w:cs="Arial"/>
          <w:szCs w:val="22"/>
          <w:lang w:eastAsia="cs-CZ"/>
        </w:rPr>
        <w:t>ho</w:t>
      </w:r>
      <w:r>
        <w:rPr>
          <w:rFonts w:eastAsia="Times New Roman" w:cs="Arial"/>
          <w:szCs w:val="22"/>
          <w:lang w:eastAsia="cs-CZ"/>
        </w:rPr>
        <w:t xml:space="preserve"> důvodu pro prominutí úroku z prodlení vzhledem k těmto mimořádným důvodům:</w:t>
      </w:r>
    </w:p>
    <w:p w:rsidR="00511D6F" w:rsidRDefault="00511D6F" w:rsidP="00D5723F">
      <w:pPr>
        <w:rPr>
          <w:rFonts w:eastAsia="Times New Roman" w:cs="Arial"/>
          <w:szCs w:val="22"/>
          <w:lang w:eastAsia="cs-CZ"/>
        </w:rPr>
      </w:pPr>
    </w:p>
    <w:p w:rsidR="00C71723" w:rsidRPr="00D24CF4" w:rsidRDefault="00511D6F" w:rsidP="00D5723F">
      <w:pPr>
        <w:pStyle w:val="Odstavecseseznamem"/>
        <w:numPr>
          <w:ilvl w:val="0"/>
          <w:numId w:val="17"/>
        </w:numPr>
        <w:rPr>
          <w:rFonts w:eastAsia="Times New Roman" w:cs="Arial"/>
          <w:szCs w:val="22"/>
          <w:lang w:eastAsia="cs-CZ"/>
        </w:rPr>
      </w:pPr>
      <w:r w:rsidRPr="00D24CF4">
        <w:rPr>
          <w:rFonts w:eastAsia="Times New Roman" w:cs="Arial"/>
          <w:szCs w:val="22"/>
          <w:lang w:eastAsia="cs-CZ"/>
        </w:rPr>
        <w:t>t</w:t>
      </w:r>
      <w:r w:rsidR="008B25FE" w:rsidRPr="00D24CF4">
        <w:rPr>
          <w:rFonts w:eastAsia="Times New Roman" w:cs="Arial"/>
          <w:szCs w:val="22"/>
          <w:lang w:eastAsia="cs-CZ"/>
        </w:rPr>
        <w:t>akto nesprávně vyměřených daňových přiznání</w:t>
      </w:r>
      <w:r w:rsidR="009C5CF8" w:rsidRPr="00D24CF4">
        <w:rPr>
          <w:rFonts w:eastAsia="Times New Roman" w:cs="Arial"/>
          <w:szCs w:val="22"/>
          <w:lang w:eastAsia="cs-CZ"/>
        </w:rPr>
        <w:t xml:space="preserve"> ve shora uvedených případech </w:t>
      </w:r>
      <w:r w:rsidR="008B25FE" w:rsidRPr="00D24CF4">
        <w:rPr>
          <w:rFonts w:eastAsia="Times New Roman" w:cs="Arial"/>
          <w:szCs w:val="22"/>
          <w:lang w:eastAsia="cs-CZ"/>
        </w:rPr>
        <w:t>je více než 25%</w:t>
      </w:r>
      <w:r w:rsidRPr="00D24CF4">
        <w:rPr>
          <w:rFonts w:eastAsia="Times New Roman" w:cs="Arial"/>
          <w:szCs w:val="22"/>
          <w:lang w:eastAsia="cs-CZ"/>
        </w:rPr>
        <w:t>;</w:t>
      </w:r>
      <w:r w:rsidR="009C5CF8" w:rsidRPr="00D24CF4">
        <w:rPr>
          <w:rFonts w:eastAsia="Times New Roman" w:cs="Arial"/>
          <w:szCs w:val="22"/>
          <w:lang w:eastAsia="cs-CZ"/>
        </w:rPr>
        <w:t xml:space="preserve"> </w:t>
      </w:r>
    </w:p>
    <w:p w:rsidR="008B25FE" w:rsidRPr="00D24CF4" w:rsidRDefault="00511D6F" w:rsidP="00D5723F">
      <w:pPr>
        <w:pStyle w:val="Odstavecseseznamem"/>
        <w:numPr>
          <w:ilvl w:val="0"/>
          <w:numId w:val="17"/>
        </w:numPr>
        <w:rPr>
          <w:rFonts w:eastAsia="Times New Roman" w:cs="Arial"/>
          <w:szCs w:val="22"/>
          <w:lang w:eastAsia="cs-CZ"/>
        </w:rPr>
      </w:pPr>
      <w:r w:rsidRPr="00D24CF4">
        <w:rPr>
          <w:rFonts w:eastAsia="Times New Roman" w:cs="Arial"/>
          <w:szCs w:val="22"/>
          <w:lang w:eastAsia="cs-CZ"/>
        </w:rPr>
        <w:t>v</w:t>
      </w:r>
      <w:r w:rsidR="00EC6339" w:rsidRPr="00D24CF4">
        <w:rPr>
          <w:rFonts w:eastAsia="Times New Roman" w:cs="Arial"/>
          <w:szCs w:val="22"/>
          <w:lang w:eastAsia="cs-CZ"/>
        </w:rPr>
        <w:t xml:space="preserve">e většině případů je dlouhá doba mezi nesprávně </w:t>
      </w:r>
      <w:r w:rsidR="009C5CF8" w:rsidRPr="00D24CF4">
        <w:rPr>
          <w:rFonts w:eastAsia="Times New Roman" w:cs="Arial"/>
          <w:szCs w:val="22"/>
          <w:lang w:eastAsia="cs-CZ"/>
        </w:rPr>
        <w:t xml:space="preserve">akceptovaným </w:t>
      </w:r>
      <w:r w:rsidR="00EC6339" w:rsidRPr="00D24CF4">
        <w:rPr>
          <w:rFonts w:eastAsia="Times New Roman" w:cs="Arial"/>
          <w:szCs w:val="22"/>
          <w:lang w:eastAsia="cs-CZ"/>
        </w:rPr>
        <w:t>osvobozením a</w:t>
      </w:r>
      <w:r w:rsidR="00D24CF4" w:rsidRPr="00D24CF4">
        <w:rPr>
          <w:rFonts w:eastAsia="Times New Roman" w:cs="Arial"/>
          <w:szCs w:val="22"/>
          <w:lang w:eastAsia="cs-CZ"/>
        </w:rPr>
        <w:t> </w:t>
      </w:r>
      <w:r w:rsidR="00EC6339" w:rsidRPr="00D24CF4">
        <w:rPr>
          <w:rFonts w:eastAsia="Times New Roman" w:cs="Arial"/>
          <w:szCs w:val="22"/>
          <w:lang w:eastAsia="cs-CZ"/>
        </w:rPr>
        <w:t>správným stanovením daně</w:t>
      </w:r>
      <w:r w:rsidRPr="00D24CF4">
        <w:rPr>
          <w:rFonts w:eastAsia="Times New Roman" w:cs="Arial"/>
          <w:szCs w:val="22"/>
          <w:lang w:eastAsia="cs-CZ"/>
        </w:rPr>
        <w:t>;</w:t>
      </w:r>
    </w:p>
    <w:p w:rsidR="005C3A93" w:rsidRPr="00D24CF4" w:rsidRDefault="00511D6F" w:rsidP="00D5723F">
      <w:pPr>
        <w:pStyle w:val="Odstavecseseznamem"/>
        <w:numPr>
          <w:ilvl w:val="0"/>
          <w:numId w:val="17"/>
        </w:numPr>
        <w:rPr>
          <w:rFonts w:eastAsia="Times New Roman" w:cs="Arial"/>
          <w:szCs w:val="22"/>
          <w:lang w:eastAsia="cs-CZ"/>
        </w:rPr>
      </w:pPr>
      <w:r w:rsidRPr="00D24CF4">
        <w:rPr>
          <w:rFonts w:eastAsia="Times New Roman" w:cs="Arial"/>
          <w:szCs w:val="22"/>
          <w:lang w:eastAsia="cs-CZ"/>
        </w:rPr>
        <w:t>p</w:t>
      </w:r>
      <w:r w:rsidR="003C3C78" w:rsidRPr="00D24CF4">
        <w:rPr>
          <w:rFonts w:eastAsia="Times New Roman" w:cs="Arial"/>
          <w:szCs w:val="22"/>
          <w:lang w:eastAsia="cs-CZ"/>
        </w:rPr>
        <w:t>odle zákona platného do 31. 12. 2013 byly podmínky pro uplatnění osvobození u</w:t>
      </w:r>
      <w:r w:rsidR="00D24CF4">
        <w:rPr>
          <w:rFonts w:eastAsia="Times New Roman" w:cs="Arial"/>
          <w:szCs w:val="22"/>
          <w:lang w:eastAsia="cs-CZ"/>
        </w:rPr>
        <w:t> </w:t>
      </w:r>
      <w:r w:rsidR="003C3C78" w:rsidRPr="00D24CF4">
        <w:rPr>
          <w:rFonts w:eastAsia="Times New Roman" w:cs="Arial"/>
          <w:szCs w:val="22"/>
          <w:lang w:eastAsia="cs-CZ"/>
        </w:rPr>
        <w:t>prvního převodu nové jednotky nastaveny jinak</w:t>
      </w:r>
      <w:r w:rsidR="00D24CF4">
        <w:rPr>
          <w:rFonts w:eastAsia="Times New Roman" w:cs="Arial"/>
          <w:szCs w:val="22"/>
          <w:lang w:eastAsia="cs-CZ"/>
        </w:rPr>
        <w:t>,</w:t>
      </w:r>
      <w:r w:rsidR="005C3A93" w:rsidRPr="00D24CF4">
        <w:rPr>
          <w:rFonts w:eastAsia="Times New Roman" w:cs="Arial"/>
          <w:szCs w:val="22"/>
          <w:lang w:eastAsia="cs-CZ"/>
        </w:rPr>
        <w:t xml:space="preserve"> než je tomu s účinností zákonného opatření od 1. 1. 2014, přičemž</w:t>
      </w:r>
      <w:r w:rsidR="003C3C78" w:rsidRPr="00D24CF4">
        <w:rPr>
          <w:rFonts w:eastAsia="Times New Roman" w:cs="Arial"/>
          <w:szCs w:val="22"/>
          <w:lang w:eastAsia="cs-CZ"/>
        </w:rPr>
        <w:t xml:space="preserve"> nebylo podstatné</w:t>
      </w:r>
      <w:r w:rsidR="00325F21" w:rsidRPr="00D24CF4">
        <w:rPr>
          <w:rFonts w:eastAsia="Times New Roman" w:cs="Arial"/>
          <w:szCs w:val="22"/>
          <w:lang w:eastAsia="cs-CZ"/>
        </w:rPr>
        <w:t>,</w:t>
      </w:r>
      <w:r w:rsidR="003C3C78" w:rsidRPr="00D24CF4">
        <w:rPr>
          <w:rFonts w:eastAsia="Times New Roman" w:cs="Arial"/>
          <w:szCs w:val="22"/>
          <w:lang w:eastAsia="cs-CZ"/>
        </w:rPr>
        <w:t xml:space="preserve"> v jakém typu stavby se jednotka nachází.</w:t>
      </w:r>
      <w:r w:rsidR="005C3A93" w:rsidRPr="00D24CF4">
        <w:rPr>
          <w:rFonts w:eastAsia="Times New Roman" w:cs="Arial"/>
          <w:szCs w:val="22"/>
          <w:lang w:eastAsia="cs-CZ"/>
        </w:rPr>
        <w:t xml:space="preserve"> Zejména v roce 2014, kdy</w:t>
      </w:r>
      <w:r w:rsidR="00325F21" w:rsidRPr="00D24CF4">
        <w:rPr>
          <w:rFonts w:eastAsia="Times New Roman" w:cs="Arial"/>
          <w:szCs w:val="22"/>
          <w:lang w:eastAsia="cs-CZ"/>
        </w:rPr>
        <w:t xml:space="preserve"> byla podávána daňová přiznání</w:t>
      </w:r>
      <w:r w:rsidR="00F41ADC">
        <w:rPr>
          <w:rFonts w:eastAsia="Times New Roman" w:cs="Arial"/>
          <w:szCs w:val="22"/>
          <w:lang w:eastAsia="cs-CZ"/>
        </w:rPr>
        <w:t>,</w:t>
      </w:r>
      <w:r w:rsidR="005C3A93" w:rsidRPr="00D24CF4">
        <w:rPr>
          <w:rFonts w:eastAsia="Times New Roman" w:cs="Arial"/>
          <w:szCs w:val="22"/>
          <w:lang w:eastAsia="cs-CZ"/>
        </w:rPr>
        <w:t xml:space="preserve"> jak </w:t>
      </w:r>
      <w:r w:rsidR="00325F21" w:rsidRPr="00D24CF4">
        <w:rPr>
          <w:rFonts w:eastAsia="Times New Roman" w:cs="Arial"/>
          <w:szCs w:val="22"/>
          <w:lang w:eastAsia="cs-CZ"/>
        </w:rPr>
        <w:t>k dani</w:t>
      </w:r>
      <w:r w:rsidR="005C3A93" w:rsidRPr="00D24CF4">
        <w:rPr>
          <w:rFonts w:eastAsia="Times New Roman" w:cs="Arial"/>
          <w:szCs w:val="22"/>
          <w:lang w:eastAsia="cs-CZ"/>
        </w:rPr>
        <w:t xml:space="preserve"> z převodu nemovitostí, tak </w:t>
      </w:r>
      <w:r w:rsidR="008C71A3">
        <w:rPr>
          <w:rFonts w:eastAsia="Times New Roman" w:cs="Arial"/>
          <w:szCs w:val="22"/>
          <w:lang w:eastAsia="cs-CZ"/>
        </w:rPr>
        <w:t xml:space="preserve">k </w:t>
      </w:r>
      <w:r w:rsidR="005C3A93" w:rsidRPr="00D24CF4">
        <w:rPr>
          <w:rFonts w:eastAsia="Times New Roman" w:cs="Arial"/>
          <w:szCs w:val="22"/>
          <w:lang w:eastAsia="cs-CZ"/>
        </w:rPr>
        <w:t>dan</w:t>
      </w:r>
      <w:r w:rsidR="00325F21" w:rsidRPr="00D24CF4">
        <w:rPr>
          <w:rFonts w:eastAsia="Times New Roman" w:cs="Arial"/>
          <w:szCs w:val="22"/>
          <w:lang w:eastAsia="cs-CZ"/>
        </w:rPr>
        <w:t>i</w:t>
      </w:r>
      <w:r w:rsidR="005C3A93" w:rsidRPr="00D24CF4">
        <w:rPr>
          <w:rFonts w:eastAsia="Times New Roman" w:cs="Arial"/>
          <w:szCs w:val="22"/>
          <w:lang w:eastAsia="cs-CZ"/>
        </w:rPr>
        <w:t xml:space="preserve"> z nabytí nemovitých věcí</w:t>
      </w:r>
      <w:r w:rsidR="00325F21" w:rsidRPr="00D24CF4">
        <w:rPr>
          <w:rFonts w:eastAsia="Times New Roman" w:cs="Arial"/>
          <w:szCs w:val="22"/>
          <w:lang w:eastAsia="cs-CZ"/>
        </w:rPr>
        <w:t>,</w:t>
      </w:r>
      <w:r w:rsidR="005C3A93" w:rsidRPr="00D24CF4">
        <w:rPr>
          <w:rFonts w:eastAsia="Times New Roman" w:cs="Arial"/>
          <w:szCs w:val="22"/>
          <w:lang w:eastAsia="cs-CZ"/>
        </w:rPr>
        <w:t xml:space="preserve"> se mohlo stát, že poplatník tuto změnu nezaznamenal a uplatnil si </w:t>
      </w:r>
      <w:r w:rsidRPr="00D24CF4">
        <w:rPr>
          <w:rFonts w:eastAsia="Times New Roman" w:cs="Arial"/>
          <w:szCs w:val="22"/>
          <w:lang w:eastAsia="cs-CZ"/>
        </w:rPr>
        <w:t>neoprávněně nárok na osvobození;</w:t>
      </w:r>
      <w:r w:rsidR="005C3A93" w:rsidRPr="00D24CF4">
        <w:rPr>
          <w:rFonts w:eastAsia="Times New Roman" w:cs="Arial"/>
          <w:szCs w:val="22"/>
          <w:lang w:eastAsia="cs-CZ"/>
        </w:rPr>
        <w:t xml:space="preserve"> </w:t>
      </w:r>
    </w:p>
    <w:p w:rsidR="00726961" w:rsidRPr="00726961" w:rsidRDefault="00511D6F" w:rsidP="00726961">
      <w:pPr>
        <w:pStyle w:val="Odstavecseseznamem"/>
        <w:numPr>
          <w:ilvl w:val="0"/>
          <w:numId w:val="17"/>
        </w:numPr>
        <w:rPr>
          <w:rFonts w:eastAsia="Times New Roman" w:cs="Arial"/>
          <w:szCs w:val="22"/>
          <w:lang w:eastAsia="cs-CZ"/>
        </w:rPr>
      </w:pPr>
      <w:r w:rsidRPr="00726961">
        <w:rPr>
          <w:rFonts w:eastAsia="Times New Roman" w:cs="Arial"/>
          <w:szCs w:val="22"/>
          <w:lang w:eastAsia="cs-CZ"/>
        </w:rPr>
        <w:t xml:space="preserve">se zvyšující se </w:t>
      </w:r>
      <w:r w:rsidR="005C3A93" w:rsidRPr="00726961">
        <w:rPr>
          <w:rFonts w:eastAsia="Times New Roman" w:cs="Arial"/>
          <w:szCs w:val="22"/>
          <w:lang w:eastAsia="cs-CZ"/>
        </w:rPr>
        <w:t xml:space="preserve">poptávkou po </w:t>
      </w:r>
      <w:r w:rsidR="00834F32">
        <w:rPr>
          <w:rFonts w:eastAsia="Times New Roman" w:cs="Arial"/>
          <w:szCs w:val="22"/>
          <w:lang w:eastAsia="cs-CZ"/>
        </w:rPr>
        <w:t xml:space="preserve">stavbách k bydlení </w:t>
      </w:r>
      <w:r w:rsidR="00A77238" w:rsidRPr="00726961">
        <w:rPr>
          <w:rFonts w:eastAsia="Times New Roman" w:cs="Arial"/>
          <w:szCs w:val="22"/>
          <w:lang w:eastAsia="cs-CZ"/>
        </w:rPr>
        <w:t>v posledních letech</w:t>
      </w:r>
      <w:r w:rsidR="005924D9">
        <w:rPr>
          <w:rFonts w:eastAsia="Times New Roman" w:cs="Arial"/>
          <w:szCs w:val="22"/>
          <w:lang w:eastAsia="cs-CZ"/>
        </w:rPr>
        <w:t xml:space="preserve"> </w:t>
      </w:r>
      <w:r w:rsidR="005C3A93" w:rsidRPr="00726961">
        <w:rPr>
          <w:rFonts w:eastAsia="Times New Roman" w:cs="Arial"/>
          <w:szCs w:val="22"/>
          <w:lang w:eastAsia="cs-CZ"/>
        </w:rPr>
        <w:t>došlo</w:t>
      </w:r>
      <w:r w:rsidR="00A77238" w:rsidRPr="00726961">
        <w:rPr>
          <w:rFonts w:eastAsia="Times New Roman" w:cs="Arial"/>
          <w:szCs w:val="22"/>
          <w:lang w:eastAsia="cs-CZ"/>
        </w:rPr>
        <w:t xml:space="preserve"> </w:t>
      </w:r>
      <w:r w:rsidR="00D24CF4" w:rsidRPr="00726961">
        <w:rPr>
          <w:rFonts w:eastAsia="Times New Roman" w:cs="Arial"/>
          <w:szCs w:val="22"/>
          <w:lang w:eastAsia="cs-CZ"/>
        </w:rPr>
        <w:br/>
      </w:r>
      <w:r w:rsidR="00A77238" w:rsidRPr="00726961">
        <w:rPr>
          <w:rFonts w:eastAsia="Times New Roman" w:cs="Arial"/>
          <w:szCs w:val="22"/>
          <w:lang w:eastAsia="cs-CZ"/>
        </w:rPr>
        <w:t>i</w:t>
      </w:r>
      <w:r w:rsidR="005C3A93" w:rsidRPr="00726961">
        <w:rPr>
          <w:rFonts w:eastAsia="Times New Roman" w:cs="Arial"/>
          <w:szCs w:val="22"/>
          <w:lang w:eastAsia="cs-CZ"/>
        </w:rPr>
        <w:t xml:space="preserve"> </w:t>
      </w:r>
      <w:r w:rsidRPr="00726961">
        <w:rPr>
          <w:rFonts w:eastAsia="Times New Roman" w:cs="Arial"/>
          <w:szCs w:val="22"/>
          <w:lang w:eastAsia="cs-CZ"/>
        </w:rPr>
        <w:t>k nárůstu</w:t>
      </w:r>
      <w:r w:rsidR="005C3A93" w:rsidRPr="00726961">
        <w:rPr>
          <w:rFonts w:eastAsia="Times New Roman" w:cs="Arial"/>
          <w:szCs w:val="22"/>
          <w:lang w:eastAsia="cs-CZ"/>
        </w:rPr>
        <w:t xml:space="preserve"> výstavb</w:t>
      </w:r>
      <w:r w:rsidRPr="00726961">
        <w:rPr>
          <w:rFonts w:eastAsia="Times New Roman" w:cs="Arial"/>
          <w:szCs w:val="22"/>
          <w:lang w:eastAsia="cs-CZ"/>
        </w:rPr>
        <w:t>y</w:t>
      </w:r>
      <w:r w:rsidR="005C3A93" w:rsidRPr="00726961">
        <w:rPr>
          <w:rFonts w:eastAsia="Times New Roman" w:cs="Arial"/>
          <w:szCs w:val="22"/>
          <w:lang w:eastAsia="cs-CZ"/>
        </w:rPr>
        <w:t xml:space="preserve"> rodinných domů rozdělených na jednotky</w:t>
      </w:r>
      <w:r w:rsidR="00A77238" w:rsidRPr="00726961">
        <w:rPr>
          <w:rFonts w:eastAsia="Times New Roman" w:cs="Arial"/>
          <w:szCs w:val="22"/>
          <w:lang w:eastAsia="cs-CZ"/>
        </w:rPr>
        <w:t>, přičemž reakce poplatníků, ani správců daně, na tuto změnu nebyla dostatečně rychlá</w:t>
      </w:r>
      <w:r w:rsidR="005C3A93" w:rsidRPr="00726961">
        <w:rPr>
          <w:rFonts w:eastAsia="Times New Roman" w:cs="Arial"/>
          <w:szCs w:val="22"/>
          <w:lang w:eastAsia="cs-CZ"/>
        </w:rPr>
        <w:t xml:space="preserve">. </w:t>
      </w:r>
      <w:r w:rsidR="00726961" w:rsidRPr="00726961">
        <w:rPr>
          <w:rFonts w:eastAsia="Times New Roman" w:cs="Arial"/>
          <w:szCs w:val="22"/>
          <w:lang w:eastAsia="cs-CZ"/>
        </w:rPr>
        <w:t>Výsledkem této situace pak bylo také to, že poplatníci v nezanedbatelném množství nedoložili správci daně správné podklady pro vyměření daně. Nesrovnalosti byly zejména mezi údaji uvedenými v zápisech ve veřejném seznamu a listinami přiloženými k</w:t>
      </w:r>
      <w:r w:rsidR="003933DB">
        <w:rPr>
          <w:rFonts w:eastAsia="Times New Roman" w:cs="Arial"/>
          <w:szCs w:val="22"/>
          <w:lang w:eastAsia="cs-CZ"/>
        </w:rPr>
        <w:t> </w:t>
      </w:r>
      <w:r w:rsidR="00726961" w:rsidRPr="00726961">
        <w:rPr>
          <w:rFonts w:eastAsia="Times New Roman" w:cs="Arial"/>
          <w:szCs w:val="22"/>
          <w:lang w:eastAsia="cs-CZ"/>
        </w:rPr>
        <w:t xml:space="preserve">daňovému přiznání. Následným šetřením bylo ověřeno, že v těchto podkladech existuje nesoulad v uvedeném způsobu využití stavby; </w:t>
      </w:r>
    </w:p>
    <w:p w:rsidR="00FF09FF" w:rsidRDefault="00FF09FF" w:rsidP="00D5723F">
      <w:pPr>
        <w:rPr>
          <w:rFonts w:eastAsia="Times New Roman" w:cs="Arial"/>
          <w:szCs w:val="22"/>
          <w:lang w:eastAsia="cs-CZ"/>
        </w:rPr>
      </w:pPr>
      <w:bookmarkStart w:id="0" w:name="_GoBack"/>
      <w:bookmarkEnd w:id="0"/>
    </w:p>
    <w:p w:rsidR="000A671E" w:rsidRPr="00ED35C4" w:rsidRDefault="000A671E" w:rsidP="00D5723F">
      <w:pPr>
        <w:rPr>
          <w:rFonts w:eastAsia="Times New Roman" w:cs="Arial"/>
          <w:szCs w:val="22"/>
          <w:lang w:eastAsia="cs-CZ"/>
        </w:rPr>
      </w:pPr>
      <w:r w:rsidRPr="00ED35C4">
        <w:rPr>
          <w:rFonts w:eastAsia="Times New Roman" w:cs="Arial"/>
          <w:szCs w:val="22"/>
          <w:lang w:eastAsia="cs-CZ"/>
        </w:rPr>
        <w:t>Nakonec je v rámci rozhodování o žádosti vždy nutné zohlednit četnost porušování povinností při správě daní dle § 259c odst. 1 daňového řádu. Způsob, jakým správce daně posuzuje "četnost porušování povinností při správě daní", je upraven v čl. III. 3. C. Pokynu.</w:t>
      </w:r>
    </w:p>
    <w:p w:rsidR="00F4731A" w:rsidRDefault="00F4731A" w:rsidP="00D5723F">
      <w:pPr>
        <w:rPr>
          <w:rFonts w:eastAsia="Times New Roman" w:cs="Arial"/>
          <w:b/>
          <w:szCs w:val="22"/>
          <w:lang w:eastAsia="cs-CZ"/>
        </w:rPr>
      </w:pPr>
    </w:p>
    <w:p w:rsidR="00F4731A" w:rsidRPr="00ED35C4" w:rsidRDefault="00F4731A" w:rsidP="00D5723F">
      <w:pPr>
        <w:rPr>
          <w:rFonts w:eastAsia="Times New Roman" w:cs="Arial"/>
          <w:szCs w:val="22"/>
          <w:lang w:eastAsia="cs-CZ"/>
        </w:rPr>
      </w:pPr>
      <w:r w:rsidRPr="00F4731A">
        <w:rPr>
          <w:rFonts w:eastAsia="Times New Roman" w:cs="Arial"/>
          <w:b/>
          <w:szCs w:val="22"/>
          <w:lang w:eastAsia="cs-CZ"/>
        </w:rPr>
        <w:t>O prominutí příslušenství daně musí daňový subjekt požádat formou žádosti.</w:t>
      </w:r>
      <w:r>
        <w:rPr>
          <w:rFonts w:eastAsia="Times New Roman" w:cs="Arial"/>
          <w:szCs w:val="22"/>
          <w:lang w:eastAsia="cs-CZ"/>
        </w:rPr>
        <w:t xml:space="preserve"> </w:t>
      </w:r>
      <w:r w:rsidRPr="00ED35C4">
        <w:rPr>
          <w:rFonts w:eastAsia="Times New Roman" w:cs="Arial"/>
          <w:szCs w:val="22"/>
          <w:lang w:eastAsia="cs-CZ"/>
        </w:rPr>
        <w:t>Na žádost o prominutí příslušenství daně podle § 259a nebo § 259b daňového řádu neexistuje speciální tiskopis, tzn., že se jedná o podání, u kterých daňový řád nepředpokládá konkrétní formu. Jako každé jiné podání vůči správci daně musí však i toto podání splňovat požadavky uvedené v § 70 daňového řádu, především pak z podání musí být zřejmé: kdo je činí, čeho se týká a co se navrhuje.</w:t>
      </w:r>
    </w:p>
    <w:p w:rsidR="00F4731A" w:rsidRDefault="00F4731A" w:rsidP="00D5723F">
      <w:pPr>
        <w:rPr>
          <w:rFonts w:eastAsia="Times New Roman" w:cs="Arial"/>
          <w:szCs w:val="22"/>
          <w:lang w:eastAsia="cs-CZ"/>
        </w:rPr>
      </w:pPr>
    </w:p>
    <w:p w:rsidR="00F4731A" w:rsidRPr="00ED35C4" w:rsidRDefault="00F4731A" w:rsidP="00D5723F">
      <w:pPr>
        <w:rPr>
          <w:rFonts w:eastAsia="Times New Roman" w:cs="Arial"/>
          <w:szCs w:val="22"/>
          <w:lang w:eastAsia="cs-CZ"/>
        </w:rPr>
      </w:pPr>
      <w:r w:rsidRPr="00ED35C4">
        <w:rPr>
          <w:rFonts w:eastAsia="Times New Roman" w:cs="Arial"/>
          <w:szCs w:val="22"/>
          <w:lang w:eastAsia="cs-CZ"/>
        </w:rPr>
        <w:t>Žádost jakožto podání lze učinit následujícími způsoby (§ 71 odst. 1 daňového řádu):</w:t>
      </w:r>
    </w:p>
    <w:p w:rsidR="00F4731A" w:rsidRPr="00ED35C4" w:rsidRDefault="00F4731A" w:rsidP="00D5723F">
      <w:pPr>
        <w:numPr>
          <w:ilvl w:val="0"/>
          <w:numId w:val="3"/>
        </w:numPr>
        <w:rPr>
          <w:rFonts w:eastAsia="Times New Roman" w:cs="Arial"/>
          <w:szCs w:val="22"/>
          <w:lang w:eastAsia="cs-CZ"/>
        </w:rPr>
      </w:pPr>
      <w:r w:rsidRPr="00ED35C4">
        <w:rPr>
          <w:rFonts w:eastAsia="Times New Roman" w:cs="Arial"/>
          <w:szCs w:val="22"/>
          <w:lang w:eastAsia="cs-CZ"/>
        </w:rPr>
        <w:t>písemně,</w:t>
      </w:r>
    </w:p>
    <w:p w:rsidR="00F4731A" w:rsidRPr="00ED35C4" w:rsidRDefault="00F4731A" w:rsidP="00D5723F">
      <w:pPr>
        <w:numPr>
          <w:ilvl w:val="0"/>
          <w:numId w:val="3"/>
        </w:numPr>
        <w:rPr>
          <w:rFonts w:eastAsia="Times New Roman" w:cs="Arial"/>
          <w:szCs w:val="22"/>
          <w:lang w:eastAsia="cs-CZ"/>
        </w:rPr>
      </w:pPr>
      <w:r w:rsidRPr="00ED35C4">
        <w:rPr>
          <w:rFonts w:eastAsia="Times New Roman" w:cs="Arial"/>
          <w:szCs w:val="22"/>
          <w:lang w:eastAsia="cs-CZ"/>
        </w:rPr>
        <w:lastRenderedPageBreak/>
        <w:t>ústně do protokolu,</w:t>
      </w:r>
    </w:p>
    <w:p w:rsidR="00F4731A" w:rsidRPr="00ED35C4" w:rsidRDefault="00F4731A" w:rsidP="00D5723F">
      <w:pPr>
        <w:numPr>
          <w:ilvl w:val="0"/>
          <w:numId w:val="3"/>
        </w:numPr>
        <w:rPr>
          <w:rFonts w:eastAsia="Times New Roman" w:cs="Arial"/>
          <w:szCs w:val="22"/>
          <w:lang w:eastAsia="cs-CZ"/>
        </w:rPr>
      </w:pPr>
      <w:r w:rsidRPr="00ED35C4">
        <w:rPr>
          <w:rFonts w:eastAsia="Times New Roman" w:cs="Arial"/>
          <w:szCs w:val="22"/>
          <w:lang w:eastAsia="cs-CZ"/>
        </w:rPr>
        <w:t>datovou zprávou podepsanou způsobem, se kterým jiný právní předpis spojuje účinky vlastnoručního podpisu,</w:t>
      </w:r>
    </w:p>
    <w:p w:rsidR="00F4731A" w:rsidRPr="00ED35C4" w:rsidRDefault="00F4731A" w:rsidP="00D5723F">
      <w:pPr>
        <w:numPr>
          <w:ilvl w:val="0"/>
          <w:numId w:val="3"/>
        </w:numPr>
        <w:rPr>
          <w:rFonts w:eastAsia="Times New Roman" w:cs="Arial"/>
          <w:szCs w:val="22"/>
          <w:lang w:eastAsia="cs-CZ"/>
        </w:rPr>
      </w:pPr>
      <w:r w:rsidRPr="00ED35C4">
        <w:rPr>
          <w:rFonts w:eastAsia="Times New Roman" w:cs="Arial"/>
          <w:szCs w:val="22"/>
          <w:lang w:eastAsia="cs-CZ"/>
        </w:rPr>
        <w:t>datovou zprávou s ověřenou identitou podatele způsobem, kterým se lze přihlásit do jeho datové schránky.</w:t>
      </w:r>
    </w:p>
    <w:p w:rsidR="00F4731A" w:rsidRDefault="00F4731A" w:rsidP="00D5723F">
      <w:pPr>
        <w:rPr>
          <w:rFonts w:eastAsia="Times New Roman" w:cs="Arial"/>
          <w:szCs w:val="22"/>
          <w:lang w:eastAsia="cs-CZ"/>
        </w:rPr>
      </w:pPr>
    </w:p>
    <w:p w:rsidR="00F4731A" w:rsidRPr="00ED35C4" w:rsidRDefault="00F4731A" w:rsidP="00D5723F">
      <w:pPr>
        <w:rPr>
          <w:rFonts w:eastAsia="Times New Roman" w:cs="Arial"/>
          <w:szCs w:val="22"/>
          <w:lang w:eastAsia="cs-CZ"/>
        </w:rPr>
      </w:pPr>
      <w:r w:rsidRPr="00ED35C4">
        <w:rPr>
          <w:rFonts w:eastAsia="Times New Roman" w:cs="Arial"/>
          <w:szCs w:val="22"/>
          <w:lang w:eastAsia="cs-CZ"/>
        </w:rPr>
        <w:t xml:space="preserve">Pro činění podání vůči správci daně elektronicky lze využít buď datovou schránku nebo společné technické zařízení správců daně, kterým je aplikace EPO (aplikace Elektronické podání pro Finanční správu), dostupná na adrese </w:t>
      </w:r>
      <w:hyperlink r:id="rId9" w:history="1">
        <w:r w:rsidRPr="00ED35C4">
          <w:rPr>
            <w:rFonts w:eastAsia="Times New Roman" w:cs="Arial"/>
            <w:color w:val="0000FF"/>
            <w:szCs w:val="22"/>
            <w:u w:val="single"/>
            <w:lang w:eastAsia="cs-CZ"/>
          </w:rPr>
          <w:t>www.daneelektronicky.cz</w:t>
        </w:r>
      </w:hyperlink>
      <w:r w:rsidRPr="00ED35C4">
        <w:rPr>
          <w:rFonts w:eastAsia="Times New Roman" w:cs="Arial"/>
          <w:szCs w:val="22"/>
          <w:lang w:eastAsia="cs-CZ"/>
        </w:rPr>
        <w:t>.</w:t>
      </w:r>
    </w:p>
    <w:p w:rsidR="00F4731A" w:rsidRDefault="00F4731A" w:rsidP="00D5723F">
      <w:pPr>
        <w:rPr>
          <w:rFonts w:eastAsia="Times New Roman" w:cs="Arial"/>
          <w:szCs w:val="22"/>
          <w:lang w:eastAsia="cs-CZ"/>
        </w:rPr>
      </w:pPr>
    </w:p>
    <w:p w:rsidR="00F4731A" w:rsidRPr="00AA3B2A" w:rsidRDefault="00F4731A" w:rsidP="00D5723F">
      <w:pPr>
        <w:rPr>
          <w:rFonts w:eastAsia="Times New Roman" w:cs="Arial"/>
          <w:szCs w:val="22"/>
          <w:lang w:eastAsia="cs-CZ"/>
        </w:rPr>
      </w:pPr>
      <w:r w:rsidRPr="00AA3B2A">
        <w:rPr>
          <w:rFonts w:eastAsia="Times New Roman" w:cs="Arial"/>
          <w:szCs w:val="22"/>
          <w:lang w:eastAsia="cs-CZ"/>
        </w:rPr>
        <w:t xml:space="preserve">Žádost se podává nebo doručuje na </w:t>
      </w:r>
      <w:r>
        <w:rPr>
          <w:rFonts w:eastAsia="Times New Roman" w:cs="Arial"/>
          <w:szCs w:val="22"/>
          <w:lang w:eastAsia="cs-CZ"/>
        </w:rPr>
        <w:t xml:space="preserve">místně </w:t>
      </w:r>
      <w:r w:rsidRPr="00AA3B2A">
        <w:rPr>
          <w:rFonts w:eastAsia="Times New Roman" w:cs="Arial"/>
          <w:szCs w:val="22"/>
          <w:lang w:eastAsia="cs-CZ"/>
        </w:rPr>
        <w:t>příslušný finanční úřad</w:t>
      </w:r>
      <w:r>
        <w:rPr>
          <w:rFonts w:eastAsia="Times New Roman" w:cs="Arial"/>
          <w:szCs w:val="22"/>
          <w:lang w:eastAsia="cs-CZ"/>
        </w:rPr>
        <w:t xml:space="preserve">, v jehož obvodu územní působnosti se nachází nemovitá věci, u níž dochází k nabytí vlastnického práva </w:t>
      </w:r>
      <w:r w:rsidRPr="00ED35C4">
        <w:rPr>
          <w:rFonts w:eastAsia="Times New Roman" w:cs="Arial"/>
          <w:szCs w:val="22"/>
          <w:lang w:eastAsia="cs-CZ"/>
        </w:rPr>
        <w:t xml:space="preserve">(§ </w:t>
      </w:r>
      <w:r>
        <w:rPr>
          <w:rFonts w:eastAsia="Times New Roman" w:cs="Arial"/>
          <w:szCs w:val="22"/>
          <w:lang w:eastAsia="cs-CZ"/>
        </w:rPr>
        <w:t>29</w:t>
      </w:r>
      <w:r w:rsidRPr="00C573BE">
        <w:rPr>
          <w:rFonts w:eastAsia="Times New Roman" w:cs="Arial"/>
          <w:szCs w:val="22"/>
          <w:u w:val="single"/>
          <w:lang w:eastAsia="cs-CZ"/>
        </w:rPr>
        <w:t xml:space="preserve"> </w:t>
      </w:r>
      <w:r w:rsidRPr="00C573BE">
        <w:rPr>
          <w:rFonts w:eastAsia="Times New Roman" w:cs="Arial"/>
          <w:szCs w:val="22"/>
          <w:lang w:eastAsia="cs-CZ"/>
        </w:rPr>
        <w:t>zákonného opatření</w:t>
      </w:r>
      <w:r w:rsidRPr="00ED35C4">
        <w:rPr>
          <w:rFonts w:eastAsia="Times New Roman" w:cs="Arial"/>
          <w:szCs w:val="22"/>
          <w:lang w:eastAsia="cs-CZ"/>
        </w:rPr>
        <w:t>)</w:t>
      </w:r>
      <w:r w:rsidR="00432E11">
        <w:rPr>
          <w:rFonts w:eastAsia="Times New Roman" w:cs="Arial"/>
          <w:szCs w:val="22"/>
          <w:lang w:eastAsia="cs-CZ"/>
        </w:rPr>
        <w:t>.</w:t>
      </w:r>
      <w:r w:rsidRPr="00AA3B2A">
        <w:rPr>
          <w:rFonts w:eastAsia="Times New Roman" w:cs="Arial"/>
          <w:szCs w:val="22"/>
          <w:lang w:eastAsia="cs-CZ"/>
        </w:rPr>
        <w:t xml:space="preserve"> </w:t>
      </w:r>
      <w:r w:rsidRPr="00ED35C4">
        <w:rPr>
          <w:rFonts w:eastAsia="Times New Roman" w:cs="Arial"/>
          <w:szCs w:val="22"/>
          <w:lang w:eastAsia="cs-CZ"/>
        </w:rPr>
        <w:t xml:space="preserve">V rámci místně příslušného finančního úřadu je pak spis k daním jednotlivých daňových subjektů umístěn na územním pracovišti tohoto finančního úřadu podle pravidel obsažených v pokynu GFŘ-D-23, jehož znění lze nalézt ve </w:t>
      </w:r>
      <w:hyperlink r:id="rId10" w:tooltip="FZ 1/2016" w:history="1">
        <w:r w:rsidRPr="00ED35C4">
          <w:rPr>
            <w:rFonts w:eastAsia="Times New Roman" w:cs="Arial"/>
            <w:color w:val="0000FF"/>
            <w:szCs w:val="22"/>
            <w:u w:val="single"/>
            <w:lang w:eastAsia="cs-CZ"/>
          </w:rPr>
          <w:t>Finančním zpravodaji č. 1/2016</w:t>
        </w:r>
      </w:hyperlink>
      <w:r w:rsidRPr="00ED35C4">
        <w:rPr>
          <w:rFonts w:eastAsia="Times New Roman" w:cs="Arial"/>
          <w:szCs w:val="22"/>
          <w:lang w:eastAsia="cs-CZ"/>
        </w:rPr>
        <w:t>. Žádost však lze podat na jakémkoliv územním pracovišti finančního úřadu.</w:t>
      </w:r>
    </w:p>
    <w:p w:rsidR="00F4731A" w:rsidRDefault="00F4731A" w:rsidP="00D5723F">
      <w:pPr>
        <w:rPr>
          <w:rFonts w:eastAsia="Times New Roman" w:cs="Arial"/>
          <w:szCs w:val="22"/>
          <w:lang w:eastAsia="cs-CZ"/>
        </w:rPr>
      </w:pPr>
    </w:p>
    <w:p w:rsidR="00F4731A" w:rsidRPr="00ED35C4" w:rsidRDefault="00F4731A" w:rsidP="00D5723F">
      <w:pPr>
        <w:rPr>
          <w:rFonts w:eastAsia="Times New Roman" w:cs="Arial"/>
          <w:szCs w:val="22"/>
          <w:lang w:eastAsia="cs-CZ"/>
        </w:rPr>
      </w:pPr>
      <w:r w:rsidRPr="00ED35C4">
        <w:rPr>
          <w:rFonts w:eastAsia="Times New Roman" w:cs="Arial"/>
          <w:szCs w:val="22"/>
          <w:lang w:eastAsia="cs-CZ"/>
        </w:rPr>
        <w:t>Při rozhodování o žádosti vychází správce daně převážně z tvrzení a důvodů uváděných daňovým subjektem, proto je do žádosti nutné uvést všechny relevantní skutečnosti. Již k</w:t>
      </w:r>
      <w:r>
        <w:rPr>
          <w:rFonts w:eastAsia="Times New Roman" w:cs="Arial"/>
          <w:szCs w:val="22"/>
          <w:lang w:eastAsia="cs-CZ"/>
        </w:rPr>
        <w:t> </w:t>
      </w:r>
      <w:r w:rsidRPr="00ED35C4">
        <w:rPr>
          <w:rFonts w:eastAsia="Times New Roman" w:cs="Arial"/>
          <w:szCs w:val="22"/>
          <w:lang w:eastAsia="cs-CZ"/>
        </w:rPr>
        <w:t>samotné žádosti je třeba přiložit všechny doklady a důkazní prostředky, které podporují tvrzení a důvody v žádosti uváděné.</w:t>
      </w:r>
    </w:p>
    <w:p w:rsidR="00F4731A" w:rsidRDefault="00F4731A" w:rsidP="00D5723F">
      <w:pPr>
        <w:rPr>
          <w:rFonts w:eastAsia="Times New Roman" w:cs="Arial"/>
          <w:szCs w:val="22"/>
          <w:lang w:eastAsia="cs-CZ"/>
        </w:rPr>
      </w:pPr>
    </w:p>
    <w:p w:rsidR="00ED35C4" w:rsidRPr="00ED35C4" w:rsidRDefault="00F4731A" w:rsidP="00D5723F">
      <w:pPr>
        <w:rPr>
          <w:rFonts w:eastAsia="Times New Roman" w:cs="Arial"/>
          <w:szCs w:val="22"/>
          <w:lang w:eastAsia="cs-CZ"/>
        </w:rPr>
      </w:pPr>
      <w:r>
        <w:rPr>
          <w:rFonts w:eastAsia="Times New Roman" w:cs="Arial"/>
          <w:szCs w:val="22"/>
          <w:lang w:eastAsia="cs-CZ"/>
        </w:rPr>
        <w:t xml:space="preserve">Dále </w:t>
      </w:r>
      <w:r w:rsidR="009C5576">
        <w:rPr>
          <w:rFonts w:eastAsia="Times New Roman" w:cs="Arial"/>
          <w:szCs w:val="22"/>
          <w:lang w:eastAsia="cs-CZ"/>
        </w:rPr>
        <w:t xml:space="preserve">ještě upozorňujeme že: </w:t>
      </w:r>
    </w:p>
    <w:p w:rsidR="003A1180" w:rsidRPr="003A1180" w:rsidRDefault="003A1180" w:rsidP="00D5723F">
      <w:pPr>
        <w:numPr>
          <w:ilvl w:val="0"/>
          <w:numId w:val="2"/>
        </w:numPr>
        <w:rPr>
          <w:rFonts w:eastAsia="Times New Roman" w:cs="Arial"/>
          <w:lang w:eastAsia="cs-CZ"/>
        </w:rPr>
      </w:pPr>
      <w:r>
        <w:rPr>
          <w:rFonts w:eastAsia="Times New Roman" w:cs="Arial"/>
          <w:szCs w:val="22"/>
          <w:lang w:eastAsia="cs-CZ"/>
        </w:rPr>
        <w:t>P</w:t>
      </w:r>
      <w:r w:rsidR="00ED35C4" w:rsidRPr="003A1180">
        <w:rPr>
          <w:rFonts w:eastAsia="Times New Roman" w:cs="Arial"/>
          <w:szCs w:val="22"/>
          <w:lang w:eastAsia="cs-CZ"/>
        </w:rPr>
        <w:t xml:space="preserve">odle položky 1, bodu 1 písm. d) sazebníku, který je přílohou k zákonu č. 634/2004 Sb., o správních poplatcích, ve znění pozdějších předpisů, </w:t>
      </w:r>
      <w:r w:rsidR="00ED35C4" w:rsidRPr="003A1180">
        <w:rPr>
          <w:rFonts w:eastAsia="Times New Roman" w:cs="Arial"/>
          <w:b/>
          <w:szCs w:val="22"/>
          <w:lang w:eastAsia="cs-CZ"/>
        </w:rPr>
        <w:t>přijetí žádosti o</w:t>
      </w:r>
      <w:r w:rsidR="00422420">
        <w:rPr>
          <w:rFonts w:eastAsia="Times New Roman" w:cs="Arial"/>
          <w:b/>
          <w:szCs w:val="22"/>
          <w:lang w:eastAsia="cs-CZ"/>
        </w:rPr>
        <w:t> </w:t>
      </w:r>
      <w:r w:rsidR="00ED35C4" w:rsidRPr="003A1180">
        <w:rPr>
          <w:rFonts w:eastAsia="Times New Roman" w:cs="Arial"/>
          <w:b/>
          <w:szCs w:val="22"/>
          <w:lang w:eastAsia="cs-CZ"/>
        </w:rPr>
        <w:t>prominutí příslušenství daně podléhá správnímu poplatku ve výši 1 000 Kč, pokud je žádáno o prominutí částky 3 001 Kč a více</w:t>
      </w:r>
      <w:r w:rsidR="00ED35C4" w:rsidRPr="003A1180">
        <w:rPr>
          <w:rFonts w:eastAsia="Times New Roman" w:cs="Arial"/>
          <w:szCs w:val="22"/>
          <w:lang w:eastAsia="cs-CZ"/>
        </w:rPr>
        <w:t>. Poplatek lze uhradit např. vylepením kolkové známky na žádost či v hotovosti na pokladně územního pracoviště příslušného finančního úřadu. Zaplacený správní poplatek je nevratný a nevrací se ani v případě zamítavého rozhodnutí o prominutí či zastavení řízení pro nesplnění procesních podmínek.</w:t>
      </w:r>
    </w:p>
    <w:p w:rsidR="00944CBD" w:rsidRPr="003A1180" w:rsidRDefault="003A1180" w:rsidP="00D5723F">
      <w:pPr>
        <w:numPr>
          <w:ilvl w:val="0"/>
          <w:numId w:val="2"/>
        </w:numPr>
        <w:rPr>
          <w:rFonts w:eastAsia="Times New Roman" w:cs="Arial"/>
          <w:lang w:eastAsia="cs-CZ"/>
        </w:rPr>
      </w:pPr>
      <w:r>
        <w:rPr>
          <w:rFonts w:eastAsia="Times New Roman" w:cs="Arial"/>
          <w:b/>
          <w:szCs w:val="22"/>
          <w:lang w:eastAsia="cs-CZ"/>
        </w:rPr>
        <w:t>P</w:t>
      </w:r>
      <w:r w:rsidR="00ED35C4" w:rsidRPr="003A1180">
        <w:rPr>
          <w:rFonts w:eastAsia="Times New Roman" w:cs="Arial"/>
          <w:b/>
          <w:szCs w:val="22"/>
          <w:lang w:eastAsia="cs-CZ"/>
        </w:rPr>
        <w:t>rominout penále, úroky z prodlení a úroky z posečkané částky lze až poté, co byla zcela uhrazena daň, k níž se toto příslušenství váže</w:t>
      </w:r>
      <w:r w:rsidR="00ED35C4" w:rsidRPr="003A1180">
        <w:rPr>
          <w:rFonts w:eastAsia="Times New Roman" w:cs="Arial"/>
          <w:szCs w:val="22"/>
          <w:lang w:eastAsia="cs-CZ"/>
        </w:rPr>
        <w:t>. Úhrada daně je první podmínkou, jejíž splnění správce daně posuzuje. Není-li tato podmínka splněna, nelze přistoupit ani k posuzování věcných důvodů pro prominutí. V případě, kdy by nebyla daň uhrazena, by žadatel nejen neuspěl se svou žádostí o prominutí, ale přišel by i o zaplacený správní poplatek.</w:t>
      </w:r>
      <w:r w:rsidR="00944CBD" w:rsidRPr="003A1180">
        <w:rPr>
          <w:rFonts w:eastAsia="Times New Roman" w:cs="Arial"/>
          <w:szCs w:val="22"/>
          <w:lang w:eastAsia="cs-CZ"/>
        </w:rPr>
        <w:t xml:space="preserve"> Pokud poplatník požádal o </w:t>
      </w:r>
      <w:r w:rsidR="00944CBD" w:rsidRPr="003A1180">
        <w:rPr>
          <w:rFonts w:eastAsia="Times New Roman" w:cs="Arial"/>
          <w:lang w:eastAsia="cs-CZ"/>
        </w:rPr>
        <w:t>posečkání úhrady daně popř. její rozložení na splátky podle § 156 daňového řádu, může o</w:t>
      </w:r>
      <w:r w:rsidR="008839F8">
        <w:rPr>
          <w:rFonts w:eastAsia="Times New Roman" w:cs="Arial"/>
          <w:lang w:eastAsia="cs-CZ"/>
        </w:rPr>
        <w:t> </w:t>
      </w:r>
      <w:r w:rsidR="00944CBD" w:rsidRPr="003A1180">
        <w:rPr>
          <w:rFonts w:eastAsia="Times New Roman" w:cs="Arial"/>
          <w:lang w:eastAsia="cs-CZ"/>
        </w:rPr>
        <w:t>prominutí úroku z posečkání požádat, ale o žádosti správce daně rozhodne až po úhradě daně.</w:t>
      </w:r>
    </w:p>
    <w:p w:rsidR="00ED35C4" w:rsidRPr="00ED35C4" w:rsidRDefault="00ED35C4" w:rsidP="00D5723F">
      <w:pPr>
        <w:ind w:left="720"/>
        <w:rPr>
          <w:rFonts w:eastAsia="Times New Roman" w:cs="Arial"/>
          <w:szCs w:val="22"/>
          <w:lang w:eastAsia="cs-CZ"/>
        </w:rPr>
      </w:pPr>
    </w:p>
    <w:p w:rsidR="00F4731A" w:rsidRDefault="00F4731A" w:rsidP="00D5723F">
      <w:pPr>
        <w:rPr>
          <w:rFonts w:eastAsia="Times New Roman" w:cs="Arial"/>
          <w:b/>
          <w:bCs/>
          <w:szCs w:val="22"/>
          <w:lang w:eastAsia="cs-CZ"/>
        </w:rPr>
      </w:pPr>
    </w:p>
    <w:sectPr w:rsidR="00F47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652"/>
    <w:multiLevelType w:val="hybridMultilevel"/>
    <w:tmpl w:val="00C27678"/>
    <w:lvl w:ilvl="0" w:tplc="D486D698">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3772A4"/>
    <w:multiLevelType w:val="hybridMultilevel"/>
    <w:tmpl w:val="B8B21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3E6613"/>
    <w:multiLevelType w:val="multilevel"/>
    <w:tmpl w:val="7C58B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06056"/>
    <w:multiLevelType w:val="hybridMultilevel"/>
    <w:tmpl w:val="386E3F5E"/>
    <w:lvl w:ilvl="0" w:tplc="D486D698">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EC226B"/>
    <w:multiLevelType w:val="hybridMultilevel"/>
    <w:tmpl w:val="1ACA05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5D3ACE"/>
    <w:multiLevelType w:val="multilevel"/>
    <w:tmpl w:val="500A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C6E2A"/>
    <w:multiLevelType w:val="hybridMultilevel"/>
    <w:tmpl w:val="09A44B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43F96D6B"/>
    <w:multiLevelType w:val="hybridMultilevel"/>
    <w:tmpl w:val="D758CA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45477F93"/>
    <w:multiLevelType w:val="hybridMultilevel"/>
    <w:tmpl w:val="FE4E7F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0D37B9A"/>
    <w:multiLevelType w:val="multilevel"/>
    <w:tmpl w:val="17BE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7B0306"/>
    <w:multiLevelType w:val="hybridMultilevel"/>
    <w:tmpl w:val="6988F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76803E7"/>
    <w:multiLevelType w:val="hybridMultilevel"/>
    <w:tmpl w:val="D7F6A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584251"/>
    <w:multiLevelType w:val="hybridMultilevel"/>
    <w:tmpl w:val="B9FCA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0ED41DD"/>
    <w:multiLevelType w:val="hybridMultilevel"/>
    <w:tmpl w:val="45F63E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6A017D17"/>
    <w:multiLevelType w:val="multilevel"/>
    <w:tmpl w:val="7D0A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FF791D"/>
    <w:multiLevelType w:val="multilevel"/>
    <w:tmpl w:val="6352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332F14"/>
    <w:multiLevelType w:val="hybridMultilevel"/>
    <w:tmpl w:val="7A241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2"/>
  </w:num>
  <w:num w:numId="5">
    <w:abstractNumId w:val="9"/>
  </w:num>
  <w:num w:numId="6">
    <w:abstractNumId w:val="1"/>
  </w:num>
  <w:num w:numId="7">
    <w:abstractNumId w:val="4"/>
  </w:num>
  <w:num w:numId="8">
    <w:abstractNumId w:val="10"/>
  </w:num>
  <w:num w:numId="9">
    <w:abstractNumId w:val="13"/>
  </w:num>
  <w:num w:numId="10">
    <w:abstractNumId w:val="11"/>
  </w:num>
  <w:num w:numId="11">
    <w:abstractNumId w:val="6"/>
  </w:num>
  <w:num w:numId="12">
    <w:abstractNumId w:val="0"/>
  </w:num>
  <w:num w:numId="13">
    <w:abstractNumId w:val="3"/>
  </w:num>
  <w:num w:numId="14">
    <w:abstractNumId w:val="16"/>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4"/>
    <w:rsid w:val="0001116D"/>
    <w:rsid w:val="0001273F"/>
    <w:rsid w:val="0002682C"/>
    <w:rsid w:val="00060406"/>
    <w:rsid w:val="00074A12"/>
    <w:rsid w:val="000A671E"/>
    <w:rsid w:val="000C07D0"/>
    <w:rsid w:val="000D7C3C"/>
    <w:rsid w:val="0014408C"/>
    <w:rsid w:val="00160AB8"/>
    <w:rsid w:val="001B3F5C"/>
    <w:rsid w:val="001D6A81"/>
    <w:rsid w:val="001F44C9"/>
    <w:rsid w:val="002511F5"/>
    <w:rsid w:val="00261453"/>
    <w:rsid w:val="00261545"/>
    <w:rsid w:val="002A4969"/>
    <w:rsid w:val="002B58DD"/>
    <w:rsid w:val="002B6578"/>
    <w:rsid w:val="003243CE"/>
    <w:rsid w:val="00325F21"/>
    <w:rsid w:val="003345DA"/>
    <w:rsid w:val="003417D3"/>
    <w:rsid w:val="0036395F"/>
    <w:rsid w:val="003933DB"/>
    <w:rsid w:val="003A1180"/>
    <w:rsid w:val="003C36F1"/>
    <w:rsid w:val="003C3C78"/>
    <w:rsid w:val="003D58B9"/>
    <w:rsid w:val="003F7953"/>
    <w:rsid w:val="00422420"/>
    <w:rsid w:val="00430114"/>
    <w:rsid w:val="00432E11"/>
    <w:rsid w:val="00442A31"/>
    <w:rsid w:val="00496AC3"/>
    <w:rsid w:val="004B2869"/>
    <w:rsid w:val="00511D6F"/>
    <w:rsid w:val="00513900"/>
    <w:rsid w:val="00532F1D"/>
    <w:rsid w:val="005620A6"/>
    <w:rsid w:val="00574BEC"/>
    <w:rsid w:val="005924D9"/>
    <w:rsid w:val="005A7B50"/>
    <w:rsid w:val="005C3A93"/>
    <w:rsid w:val="005C4736"/>
    <w:rsid w:val="005E30D1"/>
    <w:rsid w:val="005F3B30"/>
    <w:rsid w:val="0061478A"/>
    <w:rsid w:val="006232A2"/>
    <w:rsid w:val="0067546C"/>
    <w:rsid w:val="00675DB6"/>
    <w:rsid w:val="006A42FB"/>
    <w:rsid w:val="006B1576"/>
    <w:rsid w:val="006E51AE"/>
    <w:rsid w:val="00702E5B"/>
    <w:rsid w:val="00713BC1"/>
    <w:rsid w:val="00714084"/>
    <w:rsid w:val="00726961"/>
    <w:rsid w:val="00746CE3"/>
    <w:rsid w:val="00780F7D"/>
    <w:rsid w:val="00790F4D"/>
    <w:rsid w:val="00792284"/>
    <w:rsid w:val="008277AA"/>
    <w:rsid w:val="00834F32"/>
    <w:rsid w:val="00851D0A"/>
    <w:rsid w:val="00854201"/>
    <w:rsid w:val="008712BE"/>
    <w:rsid w:val="008839F8"/>
    <w:rsid w:val="008B25FE"/>
    <w:rsid w:val="008C71A3"/>
    <w:rsid w:val="008E138C"/>
    <w:rsid w:val="008E65AC"/>
    <w:rsid w:val="00926225"/>
    <w:rsid w:val="00944CBD"/>
    <w:rsid w:val="009C0824"/>
    <w:rsid w:val="009C5576"/>
    <w:rsid w:val="009C5CF8"/>
    <w:rsid w:val="009E67C4"/>
    <w:rsid w:val="009F0509"/>
    <w:rsid w:val="00A24FA5"/>
    <w:rsid w:val="00A4383C"/>
    <w:rsid w:val="00A71865"/>
    <w:rsid w:val="00A77238"/>
    <w:rsid w:val="00AF39ED"/>
    <w:rsid w:val="00B076BF"/>
    <w:rsid w:val="00B5683D"/>
    <w:rsid w:val="00B86CA8"/>
    <w:rsid w:val="00B948D0"/>
    <w:rsid w:val="00B94B7A"/>
    <w:rsid w:val="00BD6D6F"/>
    <w:rsid w:val="00BE2826"/>
    <w:rsid w:val="00C44713"/>
    <w:rsid w:val="00C71723"/>
    <w:rsid w:val="00C85C6E"/>
    <w:rsid w:val="00CB777F"/>
    <w:rsid w:val="00CB7D72"/>
    <w:rsid w:val="00CC248A"/>
    <w:rsid w:val="00CD0D0D"/>
    <w:rsid w:val="00D24CF4"/>
    <w:rsid w:val="00D5723F"/>
    <w:rsid w:val="00D577FD"/>
    <w:rsid w:val="00D975B9"/>
    <w:rsid w:val="00DA1601"/>
    <w:rsid w:val="00DF0C24"/>
    <w:rsid w:val="00E127F9"/>
    <w:rsid w:val="00E12ECD"/>
    <w:rsid w:val="00E279C7"/>
    <w:rsid w:val="00E27A47"/>
    <w:rsid w:val="00E45BBE"/>
    <w:rsid w:val="00E930FF"/>
    <w:rsid w:val="00EB41A4"/>
    <w:rsid w:val="00EC6339"/>
    <w:rsid w:val="00ED35C4"/>
    <w:rsid w:val="00EE1A99"/>
    <w:rsid w:val="00EE4F57"/>
    <w:rsid w:val="00F41ADC"/>
    <w:rsid w:val="00F4731A"/>
    <w:rsid w:val="00F55CE5"/>
    <w:rsid w:val="00F85454"/>
    <w:rsid w:val="00FF09FF"/>
    <w:rsid w:val="00FF1FCD"/>
    <w:rsid w:val="00FF5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D35C4"/>
    <w:pPr>
      <w:spacing w:before="100" w:beforeAutospacing="1" w:after="100" w:afterAutospacing="1"/>
      <w:jc w:val="left"/>
      <w:outlineLvl w:val="0"/>
    </w:pPr>
    <w:rPr>
      <w:rFonts w:ascii="Times New Roman" w:eastAsia="Times New Roman" w:hAnsi="Times New Roman"/>
      <w:b/>
      <w:bCs/>
      <w:kern w:val="36"/>
      <w:sz w:val="48"/>
      <w:szCs w:val="48"/>
      <w:lang w:eastAsia="cs-CZ"/>
    </w:rPr>
  </w:style>
  <w:style w:type="paragraph" w:styleId="Nadpis3">
    <w:name w:val="heading 3"/>
    <w:basedOn w:val="Normln"/>
    <w:link w:val="Nadpis3Char"/>
    <w:uiPriority w:val="9"/>
    <w:qFormat/>
    <w:rsid w:val="00ED35C4"/>
    <w:pPr>
      <w:spacing w:before="100" w:beforeAutospacing="1" w:after="100" w:afterAutospacing="1"/>
      <w:jc w:val="left"/>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35C4"/>
    <w:rPr>
      <w:rFonts w:ascii="Times New Roman" w:eastAsia="Times New Roman" w:hAnsi="Times New Roman"/>
      <w:b/>
      <w:bCs/>
      <w:kern w:val="36"/>
      <w:sz w:val="48"/>
      <w:szCs w:val="48"/>
      <w:lang w:eastAsia="cs-CZ"/>
    </w:rPr>
  </w:style>
  <w:style w:type="character" w:customStyle="1" w:styleId="Nadpis3Char">
    <w:name w:val="Nadpis 3 Char"/>
    <w:basedOn w:val="Standardnpsmoodstavce"/>
    <w:link w:val="Nadpis3"/>
    <w:uiPriority w:val="9"/>
    <w:rsid w:val="00ED35C4"/>
    <w:rPr>
      <w:rFonts w:ascii="Times New Roman" w:eastAsia="Times New Roman" w:hAnsi="Times New Roman"/>
      <w:b/>
      <w:bCs/>
      <w:sz w:val="27"/>
      <w:szCs w:val="27"/>
      <w:lang w:eastAsia="cs-CZ"/>
    </w:rPr>
  </w:style>
  <w:style w:type="character" w:styleId="Hypertextovodkaz">
    <w:name w:val="Hyperlink"/>
    <w:basedOn w:val="Standardnpsmoodstavce"/>
    <w:uiPriority w:val="99"/>
    <w:semiHidden/>
    <w:unhideWhenUsed/>
    <w:rsid w:val="00ED35C4"/>
    <w:rPr>
      <w:color w:val="0000FF"/>
      <w:u w:val="single"/>
    </w:rPr>
  </w:style>
  <w:style w:type="character" w:customStyle="1" w:styleId="ico-article-date">
    <w:name w:val="ico-article-date"/>
    <w:basedOn w:val="Standardnpsmoodstavce"/>
    <w:rsid w:val="00ED35C4"/>
  </w:style>
  <w:style w:type="paragraph" w:styleId="Normlnweb">
    <w:name w:val="Normal (Web)"/>
    <w:basedOn w:val="Normln"/>
    <w:uiPriority w:val="99"/>
    <w:semiHidden/>
    <w:unhideWhenUsed/>
    <w:rsid w:val="00ED35C4"/>
    <w:pPr>
      <w:spacing w:before="100" w:beforeAutospacing="1" w:after="100" w:afterAutospacing="1"/>
      <w:jc w:val="left"/>
    </w:pPr>
    <w:rPr>
      <w:rFonts w:ascii="Times New Roman" w:eastAsia="Times New Roman" w:hAnsi="Times New Roman"/>
      <w:sz w:val="24"/>
      <w:szCs w:val="24"/>
      <w:lang w:eastAsia="cs-CZ"/>
    </w:rPr>
  </w:style>
  <w:style w:type="character" w:styleId="Siln">
    <w:name w:val="Strong"/>
    <w:basedOn w:val="Standardnpsmoodstavce"/>
    <w:uiPriority w:val="22"/>
    <w:qFormat/>
    <w:rsid w:val="00ED35C4"/>
    <w:rPr>
      <w:b/>
      <w:bCs/>
    </w:rPr>
  </w:style>
  <w:style w:type="character" w:styleId="Odkaznakoment">
    <w:name w:val="annotation reference"/>
    <w:basedOn w:val="Standardnpsmoodstavce"/>
    <w:uiPriority w:val="99"/>
    <w:semiHidden/>
    <w:unhideWhenUsed/>
    <w:rsid w:val="00713BC1"/>
    <w:rPr>
      <w:sz w:val="16"/>
      <w:szCs w:val="16"/>
    </w:rPr>
  </w:style>
  <w:style w:type="paragraph" w:styleId="Textkomente">
    <w:name w:val="annotation text"/>
    <w:basedOn w:val="Normln"/>
    <w:link w:val="TextkomenteChar"/>
    <w:uiPriority w:val="99"/>
    <w:semiHidden/>
    <w:unhideWhenUsed/>
    <w:rsid w:val="00713BC1"/>
    <w:rPr>
      <w:sz w:val="20"/>
    </w:rPr>
  </w:style>
  <w:style w:type="character" w:customStyle="1" w:styleId="TextkomenteChar">
    <w:name w:val="Text komentáře Char"/>
    <w:basedOn w:val="Standardnpsmoodstavce"/>
    <w:link w:val="Textkomente"/>
    <w:uiPriority w:val="99"/>
    <w:semiHidden/>
    <w:rsid w:val="00713BC1"/>
    <w:rPr>
      <w:sz w:val="20"/>
    </w:rPr>
  </w:style>
  <w:style w:type="paragraph" w:styleId="Pedmtkomente">
    <w:name w:val="annotation subject"/>
    <w:basedOn w:val="Textkomente"/>
    <w:next w:val="Textkomente"/>
    <w:link w:val="PedmtkomenteChar"/>
    <w:uiPriority w:val="99"/>
    <w:semiHidden/>
    <w:unhideWhenUsed/>
    <w:rsid w:val="00713BC1"/>
    <w:rPr>
      <w:b/>
      <w:bCs/>
    </w:rPr>
  </w:style>
  <w:style w:type="character" w:customStyle="1" w:styleId="PedmtkomenteChar">
    <w:name w:val="Předmět komentáře Char"/>
    <w:basedOn w:val="TextkomenteChar"/>
    <w:link w:val="Pedmtkomente"/>
    <w:uiPriority w:val="99"/>
    <w:semiHidden/>
    <w:rsid w:val="00713BC1"/>
    <w:rPr>
      <w:b/>
      <w:bCs/>
      <w:sz w:val="20"/>
    </w:rPr>
  </w:style>
  <w:style w:type="paragraph" w:styleId="Textbubliny">
    <w:name w:val="Balloon Text"/>
    <w:basedOn w:val="Normln"/>
    <w:link w:val="TextbublinyChar"/>
    <w:uiPriority w:val="99"/>
    <w:semiHidden/>
    <w:unhideWhenUsed/>
    <w:rsid w:val="00713BC1"/>
    <w:rPr>
      <w:rFonts w:ascii="Tahoma" w:hAnsi="Tahoma" w:cs="Tahoma"/>
      <w:sz w:val="16"/>
      <w:szCs w:val="16"/>
    </w:rPr>
  </w:style>
  <w:style w:type="character" w:customStyle="1" w:styleId="TextbublinyChar">
    <w:name w:val="Text bubliny Char"/>
    <w:basedOn w:val="Standardnpsmoodstavce"/>
    <w:link w:val="Textbubliny"/>
    <w:uiPriority w:val="99"/>
    <w:semiHidden/>
    <w:rsid w:val="00713BC1"/>
    <w:rPr>
      <w:rFonts w:ascii="Tahoma" w:hAnsi="Tahoma" w:cs="Tahoma"/>
      <w:sz w:val="16"/>
      <w:szCs w:val="16"/>
    </w:rPr>
  </w:style>
  <w:style w:type="paragraph" w:styleId="Odstavecseseznamem">
    <w:name w:val="List Paragraph"/>
    <w:basedOn w:val="Normln"/>
    <w:uiPriority w:val="34"/>
    <w:qFormat/>
    <w:rsid w:val="006E51AE"/>
    <w:pPr>
      <w:ind w:left="720"/>
      <w:contextualSpacing/>
    </w:pPr>
  </w:style>
  <w:style w:type="paragraph" w:styleId="Revize">
    <w:name w:val="Revision"/>
    <w:hidden/>
    <w:uiPriority w:val="99"/>
    <w:semiHidden/>
    <w:rsid w:val="001B3F5C"/>
    <w:pPr>
      <w:jc w:val="left"/>
    </w:pPr>
  </w:style>
  <w:style w:type="table" w:styleId="Mkatabulky">
    <w:name w:val="Table Grid"/>
    <w:basedOn w:val="Normlntabulka"/>
    <w:uiPriority w:val="59"/>
    <w:rsid w:val="00261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D35C4"/>
    <w:pPr>
      <w:spacing w:before="100" w:beforeAutospacing="1" w:after="100" w:afterAutospacing="1"/>
      <w:jc w:val="left"/>
      <w:outlineLvl w:val="0"/>
    </w:pPr>
    <w:rPr>
      <w:rFonts w:ascii="Times New Roman" w:eastAsia="Times New Roman" w:hAnsi="Times New Roman"/>
      <w:b/>
      <w:bCs/>
      <w:kern w:val="36"/>
      <w:sz w:val="48"/>
      <w:szCs w:val="48"/>
      <w:lang w:eastAsia="cs-CZ"/>
    </w:rPr>
  </w:style>
  <w:style w:type="paragraph" w:styleId="Nadpis3">
    <w:name w:val="heading 3"/>
    <w:basedOn w:val="Normln"/>
    <w:link w:val="Nadpis3Char"/>
    <w:uiPriority w:val="9"/>
    <w:qFormat/>
    <w:rsid w:val="00ED35C4"/>
    <w:pPr>
      <w:spacing w:before="100" w:beforeAutospacing="1" w:after="100" w:afterAutospacing="1"/>
      <w:jc w:val="left"/>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35C4"/>
    <w:rPr>
      <w:rFonts w:ascii="Times New Roman" w:eastAsia="Times New Roman" w:hAnsi="Times New Roman"/>
      <w:b/>
      <w:bCs/>
      <w:kern w:val="36"/>
      <w:sz w:val="48"/>
      <w:szCs w:val="48"/>
      <w:lang w:eastAsia="cs-CZ"/>
    </w:rPr>
  </w:style>
  <w:style w:type="character" w:customStyle="1" w:styleId="Nadpis3Char">
    <w:name w:val="Nadpis 3 Char"/>
    <w:basedOn w:val="Standardnpsmoodstavce"/>
    <w:link w:val="Nadpis3"/>
    <w:uiPriority w:val="9"/>
    <w:rsid w:val="00ED35C4"/>
    <w:rPr>
      <w:rFonts w:ascii="Times New Roman" w:eastAsia="Times New Roman" w:hAnsi="Times New Roman"/>
      <w:b/>
      <w:bCs/>
      <w:sz w:val="27"/>
      <w:szCs w:val="27"/>
      <w:lang w:eastAsia="cs-CZ"/>
    </w:rPr>
  </w:style>
  <w:style w:type="character" w:styleId="Hypertextovodkaz">
    <w:name w:val="Hyperlink"/>
    <w:basedOn w:val="Standardnpsmoodstavce"/>
    <w:uiPriority w:val="99"/>
    <w:semiHidden/>
    <w:unhideWhenUsed/>
    <w:rsid w:val="00ED35C4"/>
    <w:rPr>
      <w:color w:val="0000FF"/>
      <w:u w:val="single"/>
    </w:rPr>
  </w:style>
  <w:style w:type="character" w:customStyle="1" w:styleId="ico-article-date">
    <w:name w:val="ico-article-date"/>
    <w:basedOn w:val="Standardnpsmoodstavce"/>
    <w:rsid w:val="00ED35C4"/>
  </w:style>
  <w:style w:type="paragraph" w:styleId="Normlnweb">
    <w:name w:val="Normal (Web)"/>
    <w:basedOn w:val="Normln"/>
    <w:uiPriority w:val="99"/>
    <w:semiHidden/>
    <w:unhideWhenUsed/>
    <w:rsid w:val="00ED35C4"/>
    <w:pPr>
      <w:spacing w:before="100" w:beforeAutospacing="1" w:after="100" w:afterAutospacing="1"/>
      <w:jc w:val="left"/>
    </w:pPr>
    <w:rPr>
      <w:rFonts w:ascii="Times New Roman" w:eastAsia="Times New Roman" w:hAnsi="Times New Roman"/>
      <w:sz w:val="24"/>
      <w:szCs w:val="24"/>
      <w:lang w:eastAsia="cs-CZ"/>
    </w:rPr>
  </w:style>
  <w:style w:type="character" w:styleId="Siln">
    <w:name w:val="Strong"/>
    <w:basedOn w:val="Standardnpsmoodstavce"/>
    <w:uiPriority w:val="22"/>
    <w:qFormat/>
    <w:rsid w:val="00ED35C4"/>
    <w:rPr>
      <w:b/>
      <w:bCs/>
    </w:rPr>
  </w:style>
  <w:style w:type="character" w:styleId="Odkaznakoment">
    <w:name w:val="annotation reference"/>
    <w:basedOn w:val="Standardnpsmoodstavce"/>
    <w:uiPriority w:val="99"/>
    <w:semiHidden/>
    <w:unhideWhenUsed/>
    <w:rsid w:val="00713BC1"/>
    <w:rPr>
      <w:sz w:val="16"/>
      <w:szCs w:val="16"/>
    </w:rPr>
  </w:style>
  <w:style w:type="paragraph" w:styleId="Textkomente">
    <w:name w:val="annotation text"/>
    <w:basedOn w:val="Normln"/>
    <w:link w:val="TextkomenteChar"/>
    <w:uiPriority w:val="99"/>
    <w:semiHidden/>
    <w:unhideWhenUsed/>
    <w:rsid w:val="00713BC1"/>
    <w:rPr>
      <w:sz w:val="20"/>
    </w:rPr>
  </w:style>
  <w:style w:type="character" w:customStyle="1" w:styleId="TextkomenteChar">
    <w:name w:val="Text komentáře Char"/>
    <w:basedOn w:val="Standardnpsmoodstavce"/>
    <w:link w:val="Textkomente"/>
    <w:uiPriority w:val="99"/>
    <w:semiHidden/>
    <w:rsid w:val="00713BC1"/>
    <w:rPr>
      <w:sz w:val="20"/>
    </w:rPr>
  </w:style>
  <w:style w:type="paragraph" w:styleId="Pedmtkomente">
    <w:name w:val="annotation subject"/>
    <w:basedOn w:val="Textkomente"/>
    <w:next w:val="Textkomente"/>
    <w:link w:val="PedmtkomenteChar"/>
    <w:uiPriority w:val="99"/>
    <w:semiHidden/>
    <w:unhideWhenUsed/>
    <w:rsid w:val="00713BC1"/>
    <w:rPr>
      <w:b/>
      <w:bCs/>
    </w:rPr>
  </w:style>
  <w:style w:type="character" w:customStyle="1" w:styleId="PedmtkomenteChar">
    <w:name w:val="Předmět komentáře Char"/>
    <w:basedOn w:val="TextkomenteChar"/>
    <w:link w:val="Pedmtkomente"/>
    <w:uiPriority w:val="99"/>
    <w:semiHidden/>
    <w:rsid w:val="00713BC1"/>
    <w:rPr>
      <w:b/>
      <w:bCs/>
      <w:sz w:val="20"/>
    </w:rPr>
  </w:style>
  <w:style w:type="paragraph" w:styleId="Textbubliny">
    <w:name w:val="Balloon Text"/>
    <w:basedOn w:val="Normln"/>
    <w:link w:val="TextbublinyChar"/>
    <w:uiPriority w:val="99"/>
    <w:semiHidden/>
    <w:unhideWhenUsed/>
    <w:rsid w:val="00713BC1"/>
    <w:rPr>
      <w:rFonts w:ascii="Tahoma" w:hAnsi="Tahoma" w:cs="Tahoma"/>
      <w:sz w:val="16"/>
      <w:szCs w:val="16"/>
    </w:rPr>
  </w:style>
  <w:style w:type="character" w:customStyle="1" w:styleId="TextbublinyChar">
    <w:name w:val="Text bubliny Char"/>
    <w:basedOn w:val="Standardnpsmoodstavce"/>
    <w:link w:val="Textbubliny"/>
    <w:uiPriority w:val="99"/>
    <w:semiHidden/>
    <w:rsid w:val="00713BC1"/>
    <w:rPr>
      <w:rFonts w:ascii="Tahoma" w:hAnsi="Tahoma" w:cs="Tahoma"/>
      <w:sz w:val="16"/>
      <w:szCs w:val="16"/>
    </w:rPr>
  </w:style>
  <w:style w:type="paragraph" w:styleId="Odstavecseseznamem">
    <w:name w:val="List Paragraph"/>
    <w:basedOn w:val="Normln"/>
    <w:uiPriority w:val="34"/>
    <w:qFormat/>
    <w:rsid w:val="006E51AE"/>
    <w:pPr>
      <w:ind w:left="720"/>
      <w:contextualSpacing/>
    </w:pPr>
  </w:style>
  <w:style w:type="paragraph" w:styleId="Revize">
    <w:name w:val="Revision"/>
    <w:hidden/>
    <w:uiPriority w:val="99"/>
    <w:semiHidden/>
    <w:rsid w:val="001B3F5C"/>
    <w:pPr>
      <w:jc w:val="left"/>
    </w:pPr>
  </w:style>
  <w:style w:type="table" w:styleId="Mkatabulky">
    <w:name w:val="Table Grid"/>
    <w:basedOn w:val="Normlntabulka"/>
    <w:uiPriority w:val="59"/>
    <w:rsid w:val="00261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1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24419">
          <w:marLeft w:val="0"/>
          <w:marRight w:val="0"/>
          <w:marTop w:val="0"/>
          <w:marBottom w:val="0"/>
          <w:divBdr>
            <w:top w:val="none" w:sz="0" w:space="0" w:color="auto"/>
            <w:left w:val="none" w:sz="0" w:space="0" w:color="auto"/>
            <w:bottom w:val="none" w:sz="0" w:space="0" w:color="auto"/>
            <w:right w:val="none" w:sz="0" w:space="0" w:color="auto"/>
          </w:divBdr>
          <w:divsChild>
            <w:div w:id="338241818">
              <w:marLeft w:val="0"/>
              <w:marRight w:val="0"/>
              <w:marTop w:val="0"/>
              <w:marBottom w:val="0"/>
              <w:divBdr>
                <w:top w:val="none" w:sz="0" w:space="0" w:color="auto"/>
                <w:left w:val="none" w:sz="0" w:space="0" w:color="auto"/>
                <w:bottom w:val="none" w:sz="0" w:space="0" w:color="auto"/>
                <w:right w:val="none" w:sz="0" w:space="0" w:color="auto"/>
              </w:divBdr>
              <w:divsChild>
                <w:div w:id="643629907">
                  <w:marLeft w:val="0"/>
                  <w:marRight w:val="0"/>
                  <w:marTop w:val="0"/>
                  <w:marBottom w:val="0"/>
                  <w:divBdr>
                    <w:top w:val="none" w:sz="0" w:space="0" w:color="auto"/>
                    <w:left w:val="none" w:sz="0" w:space="0" w:color="auto"/>
                    <w:bottom w:val="none" w:sz="0" w:space="0" w:color="auto"/>
                    <w:right w:val="none" w:sz="0" w:space="0" w:color="auto"/>
                  </w:divBdr>
                  <w:divsChild>
                    <w:div w:id="793983808">
                      <w:marLeft w:val="0"/>
                      <w:marRight w:val="0"/>
                      <w:marTop w:val="0"/>
                      <w:marBottom w:val="0"/>
                      <w:divBdr>
                        <w:top w:val="none" w:sz="0" w:space="0" w:color="auto"/>
                        <w:left w:val="none" w:sz="0" w:space="0" w:color="auto"/>
                        <w:bottom w:val="none" w:sz="0" w:space="0" w:color="auto"/>
                        <w:right w:val="none" w:sz="0" w:space="0" w:color="auto"/>
                      </w:divBdr>
                      <w:divsChild>
                        <w:div w:id="621499826">
                          <w:marLeft w:val="0"/>
                          <w:marRight w:val="0"/>
                          <w:marTop w:val="0"/>
                          <w:marBottom w:val="0"/>
                          <w:divBdr>
                            <w:top w:val="none" w:sz="0" w:space="0" w:color="auto"/>
                            <w:left w:val="none" w:sz="0" w:space="0" w:color="auto"/>
                            <w:bottom w:val="none" w:sz="0" w:space="0" w:color="auto"/>
                            <w:right w:val="none" w:sz="0" w:space="0" w:color="auto"/>
                          </w:divBdr>
                          <w:divsChild>
                            <w:div w:id="20329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9489">
                      <w:marLeft w:val="0"/>
                      <w:marRight w:val="0"/>
                      <w:marTop w:val="0"/>
                      <w:marBottom w:val="0"/>
                      <w:divBdr>
                        <w:top w:val="none" w:sz="0" w:space="0" w:color="auto"/>
                        <w:left w:val="none" w:sz="0" w:space="0" w:color="auto"/>
                        <w:bottom w:val="none" w:sz="0" w:space="0" w:color="auto"/>
                        <w:right w:val="none" w:sz="0" w:space="0" w:color="auto"/>
                      </w:divBdr>
                    </w:div>
                    <w:div w:id="19348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nisprava.cz/assets/cs/prilohy/d-zakony/Pokyn_GFR_D-21.pdf" TargetMode="External"/><Relationship Id="rId3" Type="http://schemas.openxmlformats.org/officeDocument/2006/relationships/styles" Target="styles.xml"/><Relationship Id="rId7" Type="http://schemas.openxmlformats.org/officeDocument/2006/relationships/hyperlink" Target="http://www.mfcr.cz/cs/legislativa/financni-zpravodaj/2015/financni-zpravodaj-cislo-22015-2090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fcr.cz/cs/legislativa/financni-zpravodaj/2016/financni-zpravodaj-cislo-12016-23818" TargetMode="External"/><Relationship Id="rId4" Type="http://schemas.microsoft.com/office/2007/relationships/stylesWithEffects" Target="stylesWithEffects.xml"/><Relationship Id="rId9" Type="http://schemas.openxmlformats.org/officeDocument/2006/relationships/hyperlink" Target="http://www.daneelektronic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77A9-DED6-4A7D-91BA-E44984ED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1349</Words>
  <Characters>7962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Finanční správa</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Koreček Jan Ing. (GFŘ)</dc:creator>
  <cp:lastModifiedBy>Koreček Jan Ing. (GFŘ)</cp:lastModifiedBy>
  <cp:revision>5</cp:revision>
  <cp:lastPrinted>2017-04-13T12:02:00Z</cp:lastPrinted>
  <dcterms:created xsi:type="dcterms:W3CDTF">2017-04-14T10:10:00Z</dcterms:created>
  <dcterms:modified xsi:type="dcterms:W3CDTF">2017-04-20T07:29:00Z</dcterms:modified>
</cp:coreProperties>
</file>