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B3" w:rsidRPr="001C1695" w:rsidRDefault="00FE09B3" w:rsidP="00FE09B3">
      <w:pPr>
        <w:spacing w:after="100" w:afterAutospacing="1"/>
        <w:jc w:val="both"/>
        <w:rPr>
          <w:rFonts w:ascii="Arial" w:hAnsi="Arial" w:cs="Arial"/>
          <w:b/>
          <w:u w:val="single"/>
        </w:rPr>
      </w:pPr>
      <w:r w:rsidRPr="001C1695">
        <w:rPr>
          <w:rFonts w:ascii="Arial" w:hAnsi="Arial" w:cs="Arial"/>
          <w:b/>
          <w:u w:val="single"/>
        </w:rPr>
        <w:t>Poskytnutá informace GFŘ podle zákona o sv</w:t>
      </w:r>
      <w:r>
        <w:rPr>
          <w:rFonts w:ascii="Arial" w:hAnsi="Arial" w:cs="Arial"/>
          <w:b/>
          <w:u w:val="single"/>
        </w:rPr>
        <w:t>obodném přístupu k informacím 8</w:t>
      </w:r>
      <w:r>
        <w:rPr>
          <w:rFonts w:ascii="Arial" w:hAnsi="Arial" w:cs="Arial"/>
          <w:b/>
          <w:u w:val="single"/>
        </w:rPr>
        <w:t>5</w:t>
      </w:r>
      <w:r w:rsidRPr="001C1695">
        <w:rPr>
          <w:rFonts w:ascii="Arial" w:hAnsi="Arial" w:cs="Arial"/>
          <w:b/>
          <w:u w:val="single"/>
        </w:rPr>
        <w:t>/2017</w:t>
      </w:r>
    </w:p>
    <w:p w:rsidR="00FE09B3" w:rsidRDefault="00FE09B3" w:rsidP="00FE09B3">
      <w:pPr>
        <w:autoSpaceDE w:val="0"/>
        <w:autoSpaceDN w:val="0"/>
        <w:adjustRightInd w:val="0"/>
        <w:spacing w:after="100" w:afterAutospacing="1"/>
        <w:rPr>
          <w:rFonts w:ascii="Arial" w:hAnsi="Arial" w:cs="Arial"/>
          <w:b/>
          <w:u w:val="single"/>
        </w:rPr>
      </w:pPr>
      <w:r>
        <w:rPr>
          <w:rFonts w:ascii="Arial" w:hAnsi="Arial" w:cs="Arial"/>
          <w:b/>
          <w:u w:val="single"/>
        </w:rPr>
        <w:t xml:space="preserve">Dotaz </w:t>
      </w:r>
      <w:r>
        <w:rPr>
          <w:rFonts w:ascii="Arial" w:hAnsi="Arial" w:cs="Arial"/>
          <w:b/>
          <w:u w:val="single"/>
        </w:rPr>
        <w:t>a odpověď:</w:t>
      </w:r>
    </w:p>
    <w:p w:rsidR="00FE09B3" w:rsidRPr="002B4317" w:rsidRDefault="00FE09B3" w:rsidP="00FE09B3">
      <w:pPr>
        <w:pStyle w:val="Odstavecseseznamem"/>
        <w:numPr>
          <w:ilvl w:val="0"/>
          <w:numId w:val="1"/>
        </w:numPr>
        <w:spacing w:after="100" w:afterAutospacing="1"/>
        <w:jc w:val="both"/>
        <w:rPr>
          <w:rFonts w:ascii="Arial" w:hAnsi="Arial" w:cs="Arial"/>
          <w:i/>
          <w:sz w:val="22"/>
        </w:rPr>
      </w:pPr>
      <w:r w:rsidRPr="002B4317">
        <w:rPr>
          <w:rFonts w:ascii="Arial" w:hAnsi="Arial" w:cs="Arial"/>
          <w:i/>
          <w:sz w:val="22"/>
        </w:rPr>
        <w:t>Jak jsou finanční úřady, resp. jejich útvary motivovány k plnění určitých sledovaných kritérií (např. výše vyměřených daní, doměřených daní, vymožených nedoplatků, odepsaných nedoplatků, počet zamítnutých registrací, prohraných odvolání nebo soudních sporů atd.)?</w:t>
      </w:r>
    </w:p>
    <w:p w:rsidR="00FE09B3" w:rsidRPr="00326D53" w:rsidRDefault="00FE09B3" w:rsidP="00FE09B3">
      <w:pPr>
        <w:spacing w:after="100" w:afterAutospacing="1"/>
        <w:jc w:val="both"/>
        <w:rPr>
          <w:rFonts w:ascii="Arial" w:hAnsi="Arial" w:cs="Arial"/>
          <w:i/>
        </w:rPr>
      </w:pPr>
      <w:r>
        <w:rPr>
          <w:rFonts w:ascii="Arial" w:hAnsi="Arial" w:cs="Arial"/>
        </w:rPr>
        <w:t xml:space="preserve">Řádná správa plnění povinností orgánů Finanční správy ČR vyplývá ze zákona č.456/2011 Sb., o Finanční správě České republiky, v platném znění, zákona č. 280/2009 Sb., daňový řád, v platném znění a ostatních daňových zákonů. </w:t>
      </w:r>
      <w:r w:rsidRPr="00326D53">
        <w:rPr>
          <w:rFonts w:ascii="Arial" w:hAnsi="Arial" w:cs="Arial"/>
        </w:rPr>
        <w:t>Zaměstnanci Finanční správy Č</w:t>
      </w:r>
      <w:r>
        <w:rPr>
          <w:rFonts w:ascii="Arial" w:hAnsi="Arial" w:cs="Arial"/>
        </w:rPr>
        <w:t>R jsou odměňováni dle zákona č. </w:t>
      </w:r>
      <w:r w:rsidRPr="00326D53">
        <w:rPr>
          <w:rFonts w:ascii="Arial" w:hAnsi="Arial" w:cs="Arial"/>
        </w:rPr>
        <w:t>234/2014 Sb., o státní službě, dle Nařízení vlády č.  304/2014  Sb. o platových poměrech státních zaměs</w:t>
      </w:r>
      <w:r>
        <w:rPr>
          <w:rFonts w:ascii="Arial" w:hAnsi="Arial" w:cs="Arial"/>
        </w:rPr>
        <w:t>tnanců  a dle nařízení vlády č. </w:t>
      </w:r>
      <w:r w:rsidRPr="00326D53">
        <w:rPr>
          <w:rFonts w:ascii="Arial" w:hAnsi="Arial" w:cs="Arial"/>
        </w:rPr>
        <w:t xml:space="preserve">302/2014 Sb., o katalogu správních činností. </w:t>
      </w:r>
    </w:p>
    <w:p w:rsidR="00FE09B3" w:rsidRDefault="00FE09B3" w:rsidP="00FE09B3">
      <w:pPr>
        <w:pStyle w:val="Odstavecseseznamem"/>
        <w:numPr>
          <w:ilvl w:val="0"/>
          <w:numId w:val="1"/>
        </w:numPr>
        <w:spacing w:after="100" w:afterAutospacing="1"/>
        <w:ind w:left="714" w:hanging="357"/>
        <w:jc w:val="both"/>
        <w:rPr>
          <w:rFonts w:ascii="Arial" w:hAnsi="Arial" w:cs="Arial"/>
          <w:i/>
          <w:sz w:val="22"/>
        </w:rPr>
      </w:pPr>
      <w:r w:rsidRPr="002B4317">
        <w:rPr>
          <w:rFonts w:ascii="Arial" w:hAnsi="Arial" w:cs="Arial"/>
          <w:i/>
          <w:sz w:val="22"/>
        </w:rPr>
        <w:t>Má plnění těchto kritérií vliv na přidělování finančních prostředků určených na osobní ohodnocení nebo odměny či prémie pro jednotlivé finanční úřady, resp. jejich útvary nebo pro jejich konkrétní pracovníky (např. bonusy podle toho, kolik daní konkrétní finanční úřad vyměří, doměří, vymůže, odepíše, kolik registrací zamítne, kolik jeho pracovníků přestoupí k nadřízeným orgánům atd. nebo naopak malusy např. za počet prohraných soudních sporů)?</w:t>
      </w:r>
    </w:p>
    <w:p w:rsidR="00FE09B3" w:rsidRPr="002B4317" w:rsidRDefault="00FE09B3" w:rsidP="00FE09B3">
      <w:pPr>
        <w:spacing w:after="100" w:afterAutospacing="1"/>
        <w:jc w:val="both"/>
        <w:rPr>
          <w:rFonts w:ascii="Arial" w:hAnsi="Arial" w:cs="Arial"/>
          <w:i/>
        </w:rPr>
      </w:pPr>
      <w:r w:rsidRPr="002B4317">
        <w:rPr>
          <w:rFonts w:ascii="Arial" w:hAnsi="Arial" w:cs="Arial"/>
        </w:rPr>
        <w:t>Napříč Finanční správou ČR nejsou stanovena pravidla k navázání mimořádných či cílových odměn na výši doměřené daně či výsledky odvolacího, případně soudního řízení. Ředitelé finančních úřadů mohou podle místních potřeb nastavit pravidla pro přiznání cílových odměn za splnění předem stanoveného mimořádně náročného úkolu, jehož příprava, postupné zajišťování a konečná realizace je z hlediska působnosti zaměstnavatele zvlášť významná a disponují-li prostředky k jejich vyplacení.</w:t>
      </w:r>
      <w:r>
        <w:rPr>
          <w:rFonts w:ascii="Arial" w:hAnsi="Arial" w:cs="Arial"/>
        </w:rPr>
        <w:t xml:space="preserve"> Osobní příplatek je zaměstnancům přiznáván v závislosti na výsledku služebního hodnocení, tzn. bez přímé vazby na výši vyměřené, doměřené, vymožené, odepsané daně, příp. počtu zamítnutých registrací či výsledku soudních sporů.</w:t>
      </w:r>
    </w:p>
    <w:p w:rsidR="00FE09B3" w:rsidRDefault="00FE09B3" w:rsidP="00FE09B3">
      <w:pPr>
        <w:pStyle w:val="Odstavecseseznamem"/>
        <w:numPr>
          <w:ilvl w:val="0"/>
          <w:numId w:val="1"/>
        </w:numPr>
        <w:spacing w:after="100" w:afterAutospacing="1"/>
        <w:ind w:left="714" w:hanging="357"/>
        <w:jc w:val="both"/>
        <w:rPr>
          <w:rFonts w:ascii="Arial" w:hAnsi="Arial" w:cs="Arial"/>
          <w:i/>
          <w:sz w:val="22"/>
        </w:rPr>
      </w:pPr>
      <w:r w:rsidRPr="002B4317">
        <w:rPr>
          <w:rFonts w:ascii="Arial" w:hAnsi="Arial" w:cs="Arial"/>
          <w:i/>
          <w:sz w:val="22"/>
        </w:rPr>
        <w:t>Existuje metodika nebo vnitřní předpis, který by obsahoval pravidla pro přidělování finančních prostředků určených na osobní ohodn</w:t>
      </w:r>
      <w:r>
        <w:rPr>
          <w:rFonts w:ascii="Arial" w:hAnsi="Arial" w:cs="Arial"/>
          <w:i/>
          <w:sz w:val="22"/>
        </w:rPr>
        <w:t>ocení nebo odměny či prémie pro </w:t>
      </w:r>
      <w:r w:rsidRPr="002B4317">
        <w:rPr>
          <w:rFonts w:ascii="Arial" w:hAnsi="Arial" w:cs="Arial"/>
          <w:i/>
          <w:sz w:val="22"/>
        </w:rPr>
        <w:t>jednotlivé finanční úřady, resp. jejich útvary nebo pro</w:t>
      </w:r>
      <w:r>
        <w:rPr>
          <w:rFonts w:ascii="Arial" w:hAnsi="Arial" w:cs="Arial"/>
          <w:i/>
          <w:sz w:val="22"/>
        </w:rPr>
        <w:t xml:space="preserve"> jejich konkrétní pracovníky na </w:t>
      </w:r>
      <w:r w:rsidRPr="002B4317">
        <w:rPr>
          <w:rFonts w:ascii="Arial" w:hAnsi="Arial" w:cs="Arial"/>
          <w:i/>
          <w:sz w:val="22"/>
        </w:rPr>
        <w:t>základě plnění těchto kritérií?</w:t>
      </w:r>
    </w:p>
    <w:p w:rsidR="00FE09B3" w:rsidRPr="002B4317" w:rsidRDefault="00FE09B3" w:rsidP="00FE09B3">
      <w:pPr>
        <w:spacing w:after="100" w:afterAutospacing="1"/>
        <w:jc w:val="both"/>
        <w:rPr>
          <w:rFonts w:ascii="Arial" w:hAnsi="Arial" w:cs="Arial"/>
          <w:i/>
        </w:rPr>
      </w:pPr>
      <w:r>
        <w:rPr>
          <w:rFonts w:ascii="Arial" w:hAnsi="Arial" w:cs="Arial"/>
        </w:rPr>
        <w:t>M</w:t>
      </w:r>
      <w:r w:rsidRPr="002B4317">
        <w:rPr>
          <w:rFonts w:ascii="Arial" w:hAnsi="Arial" w:cs="Arial"/>
        </w:rPr>
        <w:t xml:space="preserve">etodika </w:t>
      </w:r>
      <w:r>
        <w:rPr>
          <w:rFonts w:ascii="Arial" w:hAnsi="Arial" w:cs="Arial"/>
        </w:rPr>
        <w:t>nebo vnitřní předpis k pravidlům poskytování odměn a osobního příplatku ve vazbě na plnění v žádosti uváděných</w:t>
      </w:r>
      <w:r w:rsidRPr="00C71219">
        <w:rPr>
          <w:rFonts w:ascii="Arial" w:hAnsi="Arial" w:cs="Arial"/>
        </w:rPr>
        <w:t xml:space="preserve"> kritérií </w:t>
      </w:r>
      <w:r w:rsidRPr="002B4317">
        <w:rPr>
          <w:rFonts w:ascii="Arial" w:hAnsi="Arial" w:cs="Arial"/>
        </w:rPr>
        <w:t xml:space="preserve">neexistuje. </w:t>
      </w:r>
    </w:p>
    <w:p w:rsidR="00FE09B3" w:rsidRPr="00BA1D11" w:rsidRDefault="00FE09B3" w:rsidP="00FE09B3">
      <w:pPr>
        <w:pStyle w:val="Odstavecseseznamem"/>
        <w:numPr>
          <w:ilvl w:val="0"/>
          <w:numId w:val="1"/>
        </w:numPr>
        <w:spacing w:after="100" w:afterAutospacing="1"/>
        <w:jc w:val="both"/>
        <w:rPr>
          <w:rFonts w:ascii="Arial" w:hAnsi="Arial" w:cs="Arial"/>
          <w:i/>
          <w:sz w:val="22"/>
        </w:rPr>
      </w:pPr>
      <w:r w:rsidRPr="00BA1D11">
        <w:rPr>
          <w:rFonts w:ascii="Arial" w:hAnsi="Arial" w:cs="Arial"/>
          <w:i/>
          <w:sz w:val="22"/>
        </w:rPr>
        <w:t xml:space="preserve">Pokud existuje, </w:t>
      </w:r>
      <w:r w:rsidRPr="00BA1D11">
        <w:rPr>
          <w:rFonts w:ascii="Arial" w:hAnsi="Arial" w:cs="Arial"/>
          <w:b/>
          <w:i/>
          <w:sz w:val="22"/>
        </w:rPr>
        <w:t>žádám o zaslání tohoto dokumentu společně s odpovědi</w:t>
      </w:r>
      <w:r w:rsidRPr="00BA1D11">
        <w:rPr>
          <w:rFonts w:ascii="Arial" w:hAnsi="Arial" w:cs="Arial"/>
          <w:i/>
          <w:sz w:val="22"/>
        </w:rPr>
        <w:t xml:space="preserve"> na tuto žádost o informace. Pokud neexistuje, čím se přidělování výše uvedených finanční prostředků mezi jednotlivé finanční úřady a jejich útvary řídí? </w:t>
      </w:r>
    </w:p>
    <w:p w:rsidR="00FE09B3" w:rsidRDefault="00FE09B3" w:rsidP="00FE09B3">
      <w:pPr>
        <w:pStyle w:val="Default"/>
        <w:spacing w:after="100" w:afterAutospacing="1" w:line="276" w:lineRule="auto"/>
        <w:jc w:val="both"/>
        <w:rPr>
          <w:rFonts w:ascii="Arial" w:hAnsi="Arial" w:cs="Arial"/>
          <w:sz w:val="22"/>
          <w:szCs w:val="22"/>
        </w:rPr>
      </w:pPr>
      <w:r>
        <w:rPr>
          <w:rFonts w:ascii="Arial" w:hAnsi="Arial" w:cs="Arial"/>
          <w:sz w:val="22"/>
          <w:szCs w:val="22"/>
        </w:rPr>
        <w:t>Jelikož žádná metodika neexistuje, není možné vám ji poskytnout. Při přiznávání osobních příplatků se postupuje striktně podle nařízení vlády č. 134/2015 Sb., o podrobnostech služebního hodnocení státních zaměstnanců a vazbě výsledku služebního hodnocení na osobní příplatek státního zaměstnance. Objem prostředků na osobní příplatky je každoročně stanov</w:t>
      </w:r>
      <w:bookmarkStart w:id="0" w:name="_GoBack"/>
      <w:bookmarkEnd w:id="0"/>
      <w:r>
        <w:rPr>
          <w:rFonts w:ascii="Arial" w:hAnsi="Arial" w:cs="Arial"/>
          <w:sz w:val="22"/>
          <w:szCs w:val="22"/>
        </w:rPr>
        <w:t xml:space="preserve">ován na základě schváleného rozpočtu a přerozdělován na jednotlivé orgány finanční správy dle počtu systemizovaných míst. </w:t>
      </w:r>
      <w:r w:rsidRPr="000E479A">
        <w:rPr>
          <w:rFonts w:ascii="Arial" w:hAnsi="Arial" w:cs="Arial"/>
          <w:sz w:val="22"/>
          <w:szCs w:val="22"/>
        </w:rPr>
        <w:t xml:space="preserve">Na odměny </w:t>
      </w:r>
      <w:r>
        <w:rPr>
          <w:rFonts w:ascii="Arial" w:hAnsi="Arial" w:cs="Arial"/>
          <w:sz w:val="22"/>
          <w:szCs w:val="22"/>
        </w:rPr>
        <w:t>nemá</w:t>
      </w:r>
      <w:r w:rsidRPr="000E479A">
        <w:rPr>
          <w:rFonts w:ascii="Arial" w:hAnsi="Arial" w:cs="Arial"/>
          <w:sz w:val="22"/>
          <w:szCs w:val="22"/>
        </w:rPr>
        <w:t xml:space="preserve"> Finanční správa </w:t>
      </w:r>
      <w:r w:rsidRPr="000E479A">
        <w:rPr>
          <w:rFonts w:ascii="Arial" w:hAnsi="Arial" w:cs="Arial"/>
          <w:sz w:val="22"/>
          <w:szCs w:val="22"/>
        </w:rPr>
        <w:lastRenderedPageBreak/>
        <w:t xml:space="preserve">ČR </w:t>
      </w:r>
      <w:r>
        <w:rPr>
          <w:rFonts w:ascii="Arial" w:hAnsi="Arial" w:cs="Arial"/>
          <w:sz w:val="22"/>
          <w:szCs w:val="22"/>
        </w:rPr>
        <w:t xml:space="preserve">rozpočtovány </w:t>
      </w:r>
      <w:r w:rsidRPr="000E479A">
        <w:rPr>
          <w:rFonts w:ascii="Arial" w:hAnsi="Arial" w:cs="Arial"/>
          <w:sz w:val="22"/>
          <w:szCs w:val="22"/>
        </w:rPr>
        <w:t xml:space="preserve">žádné finanční prostředky. </w:t>
      </w:r>
      <w:r>
        <w:rPr>
          <w:rFonts w:ascii="Arial" w:hAnsi="Arial" w:cs="Arial"/>
          <w:sz w:val="22"/>
          <w:szCs w:val="22"/>
        </w:rPr>
        <w:t>Prostředky na o</w:t>
      </w:r>
      <w:r w:rsidRPr="000E479A">
        <w:rPr>
          <w:rFonts w:ascii="Arial" w:hAnsi="Arial" w:cs="Arial"/>
          <w:sz w:val="22"/>
          <w:szCs w:val="22"/>
        </w:rPr>
        <w:t xml:space="preserve">dměny jsou </w:t>
      </w:r>
      <w:r>
        <w:rPr>
          <w:rFonts w:ascii="Arial" w:hAnsi="Arial" w:cs="Arial"/>
          <w:sz w:val="22"/>
          <w:szCs w:val="22"/>
        </w:rPr>
        <w:t xml:space="preserve">v průběhu roku </w:t>
      </w:r>
      <w:r w:rsidRPr="000E479A">
        <w:rPr>
          <w:rFonts w:ascii="Arial" w:hAnsi="Arial" w:cs="Arial"/>
          <w:sz w:val="22"/>
          <w:szCs w:val="22"/>
        </w:rPr>
        <w:t xml:space="preserve">generovány „ušetřeny“ především z nemocnosti </w:t>
      </w:r>
      <w:r>
        <w:rPr>
          <w:rFonts w:ascii="Arial" w:hAnsi="Arial" w:cs="Arial"/>
          <w:sz w:val="22"/>
          <w:szCs w:val="22"/>
        </w:rPr>
        <w:t xml:space="preserve">zaměstnanců </w:t>
      </w:r>
      <w:r w:rsidRPr="000E479A">
        <w:rPr>
          <w:rFonts w:ascii="Arial" w:hAnsi="Arial" w:cs="Arial"/>
          <w:sz w:val="22"/>
          <w:szCs w:val="22"/>
        </w:rPr>
        <w:t>a dočasně neobsazených míst</w:t>
      </w:r>
      <w:r>
        <w:rPr>
          <w:rFonts w:ascii="Arial" w:hAnsi="Arial" w:cs="Arial"/>
          <w:sz w:val="22"/>
          <w:szCs w:val="22"/>
        </w:rPr>
        <w:t xml:space="preserve"> a jsou přerozdělovány na jednotlivé orgány finanční správy podle počtu systemizovaných míst</w:t>
      </w:r>
      <w:r w:rsidRPr="000E479A">
        <w:rPr>
          <w:rFonts w:ascii="Arial" w:hAnsi="Arial" w:cs="Arial"/>
          <w:sz w:val="22"/>
          <w:szCs w:val="22"/>
        </w:rPr>
        <w:t>.</w:t>
      </w:r>
      <w:r>
        <w:rPr>
          <w:rFonts w:ascii="Arial" w:hAnsi="Arial" w:cs="Arial"/>
          <w:sz w:val="22"/>
          <w:szCs w:val="22"/>
        </w:rPr>
        <w:t xml:space="preserve"> Tyto prostředky mohou ředitelé orgánů finanční správy použít jako odměnu za splnění mimořádných nebo zvlášť významných služebních úkolů.</w:t>
      </w:r>
    </w:p>
    <w:p w:rsidR="00FE09B3" w:rsidRDefault="00FE09B3" w:rsidP="00FE09B3">
      <w:pPr>
        <w:autoSpaceDE w:val="0"/>
        <w:autoSpaceDN w:val="0"/>
        <w:adjustRightInd w:val="0"/>
        <w:spacing w:after="100" w:afterAutospacing="1"/>
        <w:rPr>
          <w:rFonts w:ascii="Arial" w:hAnsi="Arial" w:cs="Arial"/>
          <w:b/>
          <w:u w:val="single"/>
        </w:rPr>
      </w:pPr>
    </w:p>
    <w:sectPr w:rsidR="00FE0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2263"/>
    <w:multiLevelType w:val="hybridMultilevel"/>
    <w:tmpl w:val="FB3482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B3"/>
    <w:rsid w:val="003428A3"/>
    <w:rsid w:val="00930D15"/>
    <w:rsid w:val="00DE329A"/>
    <w:rsid w:val="00F32D5C"/>
    <w:rsid w:val="00FE0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9B3"/>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E09B3"/>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Odstavecseseznamem">
    <w:name w:val="List Paragraph"/>
    <w:basedOn w:val="Normln"/>
    <w:uiPriority w:val="34"/>
    <w:qFormat/>
    <w:rsid w:val="00FE09B3"/>
    <w:pPr>
      <w:spacing w:after="200" w:line="276" w:lineRule="auto"/>
      <w:ind w:left="720"/>
      <w:contextualSpacing/>
    </w:pPr>
    <w:rPr>
      <w:rFonts w:ascii="Times New Roman" w:eastAsia="Calibri"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09B3"/>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E09B3"/>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Odstavecseseznamem">
    <w:name w:val="List Paragraph"/>
    <w:basedOn w:val="Normln"/>
    <w:uiPriority w:val="34"/>
    <w:qFormat/>
    <w:rsid w:val="00FE09B3"/>
    <w:pPr>
      <w:spacing w:after="200" w:line="276" w:lineRule="auto"/>
      <w:ind w:left="720"/>
      <w:contextualSpacing/>
    </w:pPr>
    <w:rPr>
      <w:rFonts w:ascii="Times New Roman" w:eastAsia="Calibri"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3025</Characters>
  <Application>Microsoft Office Word</Application>
  <DocSecurity>0</DocSecurity>
  <Lines>25</Lines>
  <Paragraphs>7</Paragraphs>
  <ScaleCrop>false</ScaleCrop>
  <Company>Finanční správa</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Bloudková Kateřina Mgr. (GFŘ)</dc:creator>
  <cp:lastModifiedBy>Bloudková Kateřina Mgr. (GFŘ)</cp:lastModifiedBy>
  <cp:revision>1</cp:revision>
  <dcterms:created xsi:type="dcterms:W3CDTF">2017-09-12T14:22:00Z</dcterms:created>
  <dcterms:modified xsi:type="dcterms:W3CDTF">2017-09-12T14:24:00Z</dcterms:modified>
</cp:coreProperties>
</file>