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6B50" w14:textId="77777777" w:rsidR="00D37AE4" w:rsidRDefault="00D37AE4" w:rsidP="003757E4">
      <w:pPr>
        <w:spacing w:line="276" w:lineRule="auto"/>
        <w:jc w:val="center"/>
        <w:outlineLvl w:val="0"/>
        <w:rPr>
          <w:rFonts w:ascii="Arial" w:hAnsi="Arial" w:cs="Arial"/>
          <w:b/>
          <w:caps/>
          <w:u w:val="single"/>
          <w:lang w:val="cs-CZ"/>
        </w:rPr>
      </w:pPr>
    </w:p>
    <w:p w14:paraId="6E8B3F26" w14:textId="77777777" w:rsidR="006F298B" w:rsidRDefault="006F298B" w:rsidP="006F298B">
      <w:pPr>
        <w:spacing w:line="276" w:lineRule="auto"/>
        <w:jc w:val="center"/>
        <w:outlineLvl w:val="0"/>
        <w:rPr>
          <w:rFonts w:ascii="Arial" w:hAnsi="Arial" w:cs="Arial"/>
          <w:b/>
          <w:caps/>
          <w:sz w:val="28"/>
          <w:szCs w:val="28"/>
          <w:u w:val="single"/>
          <w:lang w:val="cs-CZ"/>
        </w:rPr>
      </w:pPr>
      <w:r>
        <w:rPr>
          <w:rFonts w:ascii="Arial" w:hAnsi="Arial" w:cs="Arial"/>
          <w:b/>
          <w:caps/>
          <w:sz w:val="28"/>
          <w:szCs w:val="28"/>
          <w:u w:val="single"/>
          <w:lang w:val="cs-CZ"/>
        </w:rPr>
        <w:t>ZÁPIS Z JEDNÁNÍ KOORDINAČNÍHO VÝBORU</w:t>
      </w:r>
    </w:p>
    <w:p w14:paraId="6F027755" w14:textId="617A32CD" w:rsidR="006F298B" w:rsidRDefault="006F298B" w:rsidP="006F298B">
      <w:pPr>
        <w:spacing w:line="276" w:lineRule="auto"/>
        <w:jc w:val="center"/>
        <w:outlineLvl w:val="0"/>
        <w:rPr>
          <w:rFonts w:ascii="Arial" w:hAnsi="Arial" w:cs="Arial"/>
          <w:b/>
          <w:color w:val="000000"/>
          <w:highlight w:val="green"/>
          <w:u w:val="single"/>
          <w:shd w:val="clear" w:color="auto" w:fill="FFFFFF"/>
          <w:lang w:val="cs-CZ"/>
        </w:rPr>
      </w:pPr>
      <w:r>
        <w:rPr>
          <w:rFonts w:ascii="Arial" w:hAnsi="Arial" w:cs="Arial"/>
          <w:b/>
          <w:caps/>
          <w:sz w:val="28"/>
          <w:szCs w:val="28"/>
          <w:u w:val="single"/>
          <w:lang w:val="cs-CZ"/>
        </w:rPr>
        <w:t xml:space="preserve">S KOMOROU DAŇOVÝCH PORADCŮ ČR ZE DNE 28. 11. 2023 </w:t>
      </w:r>
    </w:p>
    <w:p w14:paraId="50FE45F1" w14:textId="77777777" w:rsidR="007371AC" w:rsidRPr="006F7F9C" w:rsidRDefault="007371AC" w:rsidP="00C0559A">
      <w:pPr>
        <w:rPr>
          <w:rFonts w:ascii="Arial" w:hAnsi="Arial" w:cs="Arial"/>
          <w:b/>
          <w:u w:val="single"/>
          <w:lang w:val="cs-CZ"/>
        </w:rPr>
      </w:pPr>
    </w:p>
    <w:p w14:paraId="35E2E9B1" w14:textId="77777777" w:rsidR="008D0BD9" w:rsidRDefault="008D0BD9" w:rsidP="008D4C3B">
      <w:pPr>
        <w:rPr>
          <w:rFonts w:ascii="Arial" w:hAnsi="Arial" w:cs="Arial"/>
          <w:b/>
          <w:color w:val="000000"/>
          <w:u w:val="single"/>
          <w:shd w:val="clear" w:color="auto" w:fill="FFFFFF"/>
          <w:lang w:val="cs-CZ"/>
        </w:rPr>
      </w:pPr>
    </w:p>
    <w:p w14:paraId="520CE71B" w14:textId="7F887C85" w:rsidR="00B01C67" w:rsidRPr="006F298B" w:rsidRDefault="006F298B" w:rsidP="006F298B">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EM KE DNI 28. 11. 2023</w:t>
      </w:r>
    </w:p>
    <w:p w14:paraId="540ADEA9" w14:textId="77777777" w:rsidR="00B01C67" w:rsidRDefault="00B01C67" w:rsidP="008D4C3B">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w:t>
      </w:r>
      <w:r w:rsidR="00691E34">
        <w:rPr>
          <w:rFonts w:ascii="Arial" w:hAnsi="Arial" w:cs="Arial"/>
          <w:b/>
          <w:color w:val="000000"/>
          <w:u w:val="single"/>
          <w:shd w:val="clear" w:color="auto" w:fill="FFFFFF"/>
          <w:lang w:val="cs-CZ"/>
        </w:rPr>
        <w:t> </w:t>
      </w:r>
      <w:r>
        <w:rPr>
          <w:rFonts w:ascii="Arial" w:hAnsi="Arial" w:cs="Arial"/>
          <w:b/>
          <w:color w:val="000000"/>
          <w:u w:val="single"/>
          <w:shd w:val="clear" w:color="auto" w:fill="FFFFFF"/>
          <w:lang w:val="cs-CZ"/>
        </w:rPr>
        <w:t>příjmů</w:t>
      </w:r>
    </w:p>
    <w:p w14:paraId="400CC9CB" w14:textId="77777777" w:rsidR="00691E34" w:rsidRDefault="00691E34" w:rsidP="008D4C3B">
      <w:pPr>
        <w:rPr>
          <w:rFonts w:ascii="Arial" w:hAnsi="Arial" w:cs="Arial"/>
          <w:b/>
          <w:color w:val="000000"/>
          <w:u w:val="single"/>
          <w:shd w:val="clear" w:color="auto" w:fill="FFFFFF"/>
          <w:lang w:val="cs-CZ"/>
        </w:rPr>
      </w:pPr>
    </w:p>
    <w:p w14:paraId="761FE630" w14:textId="43F7C5B4" w:rsidR="00691E34" w:rsidRPr="00922624" w:rsidRDefault="00691E34" w:rsidP="008D4C3B">
      <w:pPr>
        <w:rPr>
          <w:rFonts w:ascii="Arial" w:hAnsi="Arial" w:cs="Arial"/>
          <w:b/>
          <w:color w:val="000000"/>
          <w:shd w:val="clear" w:color="auto" w:fill="FFFFFF"/>
          <w:vertAlign w:val="superscript"/>
          <w:lang w:val="cs-CZ"/>
        </w:rPr>
      </w:pPr>
      <w:r w:rsidRPr="00691E34">
        <w:rPr>
          <w:rFonts w:ascii="Arial" w:hAnsi="Arial" w:cs="Arial"/>
          <w:b/>
          <w:color w:val="000000"/>
          <w:shd w:val="clear" w:color="auto" w:fill="FFFFFF"/>
          <w:lang w:val="cs-CZ"/>
        </w:rPr>
        <w:t xml:space="preserve">615/28.11.23 Rozsah výnosů z poskytnutých úvěrů dle § 5a zákona o rezervách </w:t>
      </w:r>
    </w:p>
    <w:p w14:paraId="40CEA557" w14:textId="13686E6C" w:rsidR="00691E34" w:rsidRDefault="00691E34" w:rsidP="00691E34">
      <w:pPr>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Pr="00691E34">
        <w:rPr>
          <w:rFonts w:ascii="Arial" w:hAnsi="Arial" w:cs="Arial"/>
          <w:color w:val="000000"/>
          <w:shd w:val="clear" w:color="auto" w:fill="FFFFFF"/>
          <w:lang w:val="cs-CZ"/>
        </w:rPr>
        <w:t xml:space="preserve">Ing. Ladislav </w:t>
      </w:r>
      <w:proofErr w:type="spellStart"/>
      <w:r w:rsidRPr="00691E34">
        <w:rPr>
          <w:rFonts w:ascii="Arial" w:hAnsi="Arial" w:cs="Arial"/>
          <w:color w:val="000000"/>
          <w:shd w:val="clear" w:color="auto" w:fill="FFFFFF"/>
          <w:lang w:val="cs-CZ"/>
        </w:rPr>
        <w:t>Malůšek</w:t>
      </w:r>
      <w:proofErr w:type="spellEnd"/>
      <w:r w:rsidRPr="00691E34">
        <w:rPr>
          <w:rFonts w:ascii="Arial" w:hAnsi="Arial" w:cs="Arial"/>
          <w:color w:val="000000"/>
          <w:shd w:val="clear" w:color="auto" w:fill="FFFFFF"/>
          <w:lang w:val="cs-CZ"/>
        </w:rPr>
        <w:t>, daňový poradce</w:t>
      </w:r>
      <w:r>
        <w:rPr>
          <w:rFonts w:ascii="Arial" w:hAnsi="Arial" w:cs="Arial"/>
          <w:color w:val="000000"/>
          <w:shd w:val="clear" w:color="auto" w:fill="FFFFFF"/>
          <w:lang w:val="cs-CZ"/>
        </w:rPr>
        <w:t>,</w:t>
      </w:r>
      <w:r w:rsidRPr="00691E34">
        <w:rPr>
          <w:rFonts w:ascii="Arial" w:hAnsi="Arial" w:cs="Arial"/>
          <w:color w:val="000000"/>
          <w:shd w:val="clear" w:color="auto" w:fill="FFFFFF"/>
          <w:lang w:val="cs-CZ"/>
        </w:rPr>
        <w:t xml:space="preserv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xml:space="preserve">. </w:t>
      </w:r>
      <w:r w:rsidRPr="00691E34">
        <w:rPr>
          <w:rFonts w:ascii="Arial" w:hAnsi="Arial" w:cs="Arial"/>
          <w:color w:val="000000"/>
          <w:shd w:val="clear" w:color="auto" w:fill="FFFFFF"/>
          <w:lang w:val="cs-CZ"/>
        </w:rPr>
        <w:t xml:space="preserve">3990 </w:t>
      </w:r>
    </w:p>
    <w:p w14:paraId="52A9D5A4" w14:textId="77777777" w:rsidR="00691E34" w:rsidRDefault="00691E34" w:rsidP="00691E34">
      <w:pPr>
        <w:ind w:left="708" w:firstLine="708"/>
        <w:rPr>
          <w:rFonts w:ascii="Arial" w:hAnsi="Arial" w:cs="Arial"/>
          <w:color w:val="000000"/>
          <w:shd w:val="clear" w:color="auto" w:fill="FFFFFF"/>
          <w:lang w:val="cs-CZ"/>
        </w:rPr>
      </w:pPr>
      <w:r w:rsidRPr="00691E34">
        <w:rPr>
          <w:rFonts w:ascii="Arial" w:hAnsi="Arial" w:cs="Arial"/>
          <w:color w:val="000000"/>
          <w:shd w:val="clear" w:color="auto" w:fill="FFFFFF"/>
          <w:lang w:val="cs-CZ"/>
        </w:rPr>
        <w:t>JUDr. Jana Fuksová, LL.M., daňový poradce</w:t>
      </w:r>
      <w:r>
        <w:rPr>
          <w:rFonts w:ascii="Arial" w:hAnsi="Arial" w:cs="Arial"/>
          <w:color w:val="000000"/>
          <w:shd w:val="clear" w:color="auto" w:fill="FFFFFF"/>
          <w:lang w:val="cs-CZ"/>
        </w:rPr>
        <w:t>,</w:t>
      </w:r>
      <w:r w:rsidRPr="00691E34">
        <w:rPr>
          <w:rFonts w:ascii="Arial" w:hAnsi="Arial" w:cs="Arial"/>
          <w:color w:val="000000"/>
          <w:shd w:val="clear" w:color="auto" w:fill="FFFFFF"/>
          <w:lang w:val="cs-CZ"/>
        </w:rPr>
        <w:t xml:space="preserve"> č.</w:t>
      </w:r>
      <w:r>
        <w:rPr>
          <w:rFonts w:ascii="Arial" w:hAnsi="Arial" w:cs="Arial"/>
          <w:color w:val="000000"/>
          <w:shd w:val="clear" w:color="auto" w:fill="FFFFFF"/>
          <w:lang w:val="cs-CZ"/>
        </w:rPr>
        <w:t xml:space="preserve">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w:t>
      </w:r>
      <w:r w:rsidRPr="00691E34">
        <w:rPr>
          <w:rFonts w:ascii="Arial" w:hAnsi="Arial" w:cs="Arial"/>
          <w:color w:val="000000"/>
          <w:shd w:val="clear" w:color="auto" w:fill="FFFFFF"/>
          <w:lang w:val="cs-CZ"/>
        </w:rPr>
        <w:t xml:space="preserve"> 5029</w:t>
      </w:r>
    </w:p>
    <w:p w14:paraId="5875E904" w14:textId="77777777" w:rsidR="00691E34" w:rsidRDefault="00691E34" w:rsidP="00691E34">
      <w:pPr>
        <w:rPr>
          <w:rFonts w:ascii="Arial" w:hAnsi="Arial" w:cs="Arial"/>
          <w:color w:val="000000"/>
          <w:shd w:val="clear" w:color="auto" w:fill="FFFFFF"/>
          <w:lang w:val="cs-CZ"/>
        </w:rPr>
      </w:pPr>
    </w:p>
    <w:p w14:paraId="3FCD7A80" w14:textId="039FD141" w:rsidR="006F298B" w:rsidRPr="006F298B" w:rsidRDefault="006F298B" w:rsidP="006F298B">
      <w:pP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t xml:space="preserve">PŘÍSPĚVEK UZAVŘEN </w:t>
      </w:r>
      <w:r>
        <w:rPr>
          <w:rFonts w:ascii="Arial" w:hAnsi="Arial" w:cs="Arial"/>
          <w:b/>
          <w:sz w:val="32"/>
          <w:szCs w:val="32"/>
          <w:highlight w:val="yellow"/>
          <w:u w:val="single"/>
          <w:lang w:val="cs-CZ" w:eastAsia="cs-CZ"/>
        </w:rPr>
        <w:t>BEZ</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U</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28</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11</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329C4339" w14:textId="77777777" w:rsidR="006F298B" w:rsidRDefault="006F298B" w:rsidP="006F298B">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2AD7C48E" w14:textId="77777777" w:rsidR="006F298B" w:rsidRDefault="006F298B" w:rsidP="006F298B">
      <w:pPr>
        <w:autoSpaceDE w:val="0"/>
        <w:autoSpaceDN w:val="0"/>
        <w:adjustRightInd w:val="0"/>
        <w:jc w:val="both"/>
        <w:rPr>
          <w:rFonts w:ascii="Arial" w:hAnsi="Arial" w:cs="Arial"/>
          <w:b/>
          <w:color w:val="000000"/>
          <w:shd w:val="clear" w:color="auto" w:fill="FFFFFF"/>
          <w:lang w:val="cs-CZ"/>
        </w:rPr>
      </w:pPr>
    </w:p>
    <w:p w14:paraId="3E7922A2" w14:textId="06387AD9" w:rsidR="00691E34" w:rsidRPr="00020CB9" w:rsidRDefault="00691E34" w:rsidP="00691E34">
      <w:pPr>
        <w:autoSpaceDE w:val="0"/>
        <w:autoSpaceDN w:val="0"/>
        <w:adjustRightInd w:val="0"/>
        <w:jc w:val="both"/>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616/28.11.23 </w:t>
      </w:r>
      <w:r w:rsidRPr="00020CB9">
        <w:rPr>
          <w:rFonts w:ascii="Arial" w:hAnsi="Arial" w:cs="Arial"/>
          <w:b/>
          <w:color w:val="000000"/>
          <w:shd w:val="clear" w:color="auto" w:fill="FFFFFF"/>
          <w:lang w:val="cs-CZ"/>
        </w:rPr>
        <w:t xml:space="preserve">Nahrazení </w:t>
      </w:r>
      <w:r>
        <w:rPr>
          <w:rFonts w:ascii="Arial" w:hAnsi="Arial" w:cs="Arial"/>
          <w:b/>
          <w:color w:val="000000"/>
          <w:shd w:val="clear" w:color="auto" w:fill="FFFFFF"/>
          <w:lang w:val="cs-CZ"/>
        </w:rPr>
        <w:t>P</w:t>
      </w:r>
      <w:r w:rsidRPr="00020CB9">
        <w:rPr>
          <w:rFonts w:ascii="Arial" w:hAnsi="Arial" w:cs="Arial"/>
          <w:b/>
          <w:color w:val="000000"/>
          <w:shd w:val="clear" w:color="auto" w:fill="FFFFFF"/>
          <w:lang w:val="cs-CZ"/>
        </w:rPr>
        <w:t xml:space="preserve">okynu </w:t>
      </w:r>
      <w:r>
        <w:rPr>
          <w:rFonts w:ascii="Arial" w:hAnsi="Arial" w:cs="Arial"/>
          <w:b/>
          <w:color w:val="000000"/>
          <w:shd w:val="clear" w:color="auto" w:fill="FFFFFF"/>
          <w:lang w:val="cs-CZ"/>
        </w:rPr>
        <w:t xml:space="preserve">GFŘ </w:t>
      </w:r>
      <w:r w:rsidRPr="00020CB9">
        <w:rPr>
          <w:rFonts w:ascii="Arial" w:hAnsi="Arial" w:cs="Arial"/>
          <w:b/>
          <w:color w:val="000000"/>
          <w:shd w:val="clear" w:color="auto" w:fill="FFFFFF"/>
          <w:lang w:val="cs-CZ"/>
        </w:rPr>
        <w:t xml:space="preserve">D-22 </w:t>
      </w:r>
      <w:r>
        <w:rPr>
          <w:rFonts w:ascii="Arial" w:hAnsi="Arial" w:cs="Arial"/>
          <w:b/>
          <w:color w:val="000000"/>
          <w:shd w:val="clear" w:color="auto" w:fill="FFFFFF"/>
          <w:lang w:val="cs-CZ"/>
        </w:rPr>
        <w:t>P</w:t>
      </w:r>
      <w:r w:rsidRPr="00020CB9">
        <w:rPr>
          <w:rFonts w:ascii="Arial" w:hAnsi="Arial" w:cs="Arial"/>
          <w:b/>
          <w:color w:val="000000"/>
          <w:shd w:val="clear" w:color="auto" w:fill="FFFFFF"/>
          <w:lang w:val="cs-CZ"/>
        </w:rPr>
        <w:t>okynem</w:t>
      </w:r>
      <w:r>
        <w:rPr>
          <w:rFonts w:ascii="Arial" w:hAnsi="Arial" w:cs="Arial"/>
          <w:b/>
          <w:color w:val="000000"/>
          <w:shd w:val="clear" w:color="auto" w:fill="FFFFFF"/>
          <w:lang w:val="cs-CZ"/>
        </w:rPr>
        <w:t xml:space="preserve"> GFŘ</w:t>
      </w:r>
      <w:r w:rsidRPr="00020CB9">
        <w:rPr>
          <w:rFonts w:ascii="Arial" w:hAnsi="Arial" w:cs="Arial"/>
          <w:b/>
          <w:color w:val="000000"/>
          <w:shd w:val="clear" w:color="auto" w:fill="FFFFFF"/>
          <w:lang w:val="cs-CZ"/>
        </w:rPr>
        <w:t xml:space="preserve"> D-59 s úpravou textu k</w:t>
      </w:r>
      <w:r w:rsidR="0084634C">
        <w:rPr>
          <w:rFonts w:ascii="Arial" w:hAnsi="Arial" w:cs="Arial"/>
          <w:b/>
          <w:color w:val="000000"/>
          <w:shd w:val="clear" w:color="auto" w:fill="FFFFFF"/>
          <w:lang w:val="cs-CZ"/>
        </w:rPr>
        <w:t> </w:t>
      </w:r>
      <w:r w:rsidRPr="00020CB9">
        <w:rPr>
          <w:rFonts w:ascii="Arial" w:hAnsi="Arial" w:cs="Arial"/>
          <w:b/>
          <w:color w:val="000000"/>
          <w:shd w:val="clear" w:color="auto" w:fill="FFFFFF"/>
          <w:lang w:val="cs-CZ"/>
        </w:rPr>
        <w:t xml:space="preserve">§ 6 odst. 7 písm. c) a e) ZDP – vyloučení plnění ve formě </w:t>
      </w:r>
      <w:r w:rsidRPr="00020CB9">
        <w:rPr>
          <w:rFonts w:ascii="Arial" w:eastAsia="NoticiaText-Regular" w:hAnsi="Arial" w:cs="Arial"/>
          <w:b/>
          <w:lang w:val="cs-CZ"/>
          <w14:ligatures w14:val="standardContextual"/>
        </w:rPr>
        <w:t>vydání paměťové karty řidiče (umožňující obsluhu</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digitálního tachografu), kterou musí být řidič vybaven podle</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zákona č. 361/2000 Sb., o provozu na pozemních komunikacích</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a</w:t>
      </w:r>
      <w:r w:rsidR="0084634C">
        <w:rPr>
          <w:rFonts w:ascii="Arial" w:eastAsia="NoticiaText-Regular" w:hAnsi="Arial" w:cs="Arial"/>
          <w:b/>
          <w:lang w:val="cs-CZ"/>
          <w14:ligatures w14:val="standardContextual"/>
        </w:rPr>
        <w:t> </w:t>
      </w:r>
      <w:r w:rsidRPr="00020CB9">
        <w:rPr>
          <w:rFonts w:ascii="Arial" w:eastAsia="NoticiaText-Regular" w:hAnsi="Arial" w:cs="Arial"/>
          <w:b/>
          <w:lang w:val="cs-CZ"/>
          <w14:ligatures w14:val="standardContextual"/>
        </w:rPr>
        <w:t>změnách některých zákonů (zákon o silničním provozu), ve</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znění pozdějších předpisů</w:t>
      </w:r>
      <w:r w:rsidRPr="00020CB9">
        <w:rPr>
          <w:rFonts w:ascii="Arial" w:hAnsi="Arial" w:cs="Arial"/>
          <w:b/>
          <w:color w:val="000000"/>
          <w:shd w:val="clear" w:color="auto" w:fill="FFFFFF"/>
          <w:lang w:val="cs-CZ"/>
        </w:rPr>
        <w:t xml:space="preserve"> z předmětu daně z příjmů fyzických osob ze závislé činnost</w:t>
      </w:r>
      <w:r w:rsidR="008D0BD9">
        <w:rPr>
          <w:rFonts w:ascii="Arial" w:hAnsi="Arial" w:cs="Arial"/>
          <w:b/>
          <w:color w:val="000000"/>
          <w:shd w:val="clear" w:color="auto" w:fill="FFFFFF"/>
          <w:lang w:val="cs-CZ"/>
        </w:rPr>
        <w:t>i</w:t>
      </w:r>
    </w:p>
    <w:p w14:paraId="48327512" w14:textId="37CDC24A" w:rsidR="00691E34" w:rsidRDefault="00691E34" w:rsidP="00691E34">
      <w:pPr>
        <w:jc w:val="both"/>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r>
      <w:r w:rsidR="008D0BD9">
        <w:rPr>
          <w:rFonts w:ascii="Arial" w:hAnsi="Arial" w:cs="Arial"/>
          <w:color w:val="000000"/>
          <w:shd w:val="clear" w:color="auto" w:fill="FFFFFF"/>
          <w:lang w:val="cs-CZ"/>
        </w:rPr>
        <w:t>I</w:t>
      </w:r>
      <w:r>
        <w:rPr>
          <w:rFonts w:ascii="Arial" w:hAnsi="Arial" w:cs="Arial"/>
          <w:color w:val="000000"/>
          <w:shd w:val="clear" w:color="auto" w:fill="FFFFFF"/>
          <w:lang w:val="cs-CZ"/>
        </w:rPr>
        <w:t xml:space="preserve">ng. Radislav Tkáč,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3680</w:t>
      </w:r>
    </w:p>
    <w:p w14:paraId="52C213AC" w14:textId="77777777" w:rsidR="00691E34" w:rsidRDefault="00691E34" w:rsidP="00691E34">
      <w:pPr>
        <w:ind w:left="708" w:firstLine="708"/>
        <w:jc w:val="both"/>
        <w:rPr>
          <w:rFonts w:ascii="Arial" w:hAnsi="Arial" w:cs="Arial"/>
          <w:color w:val="000000"/>
          <w:shd w:val="clear" w:color="auto" w:fill="FFFFFF"/>
          <w:lang w:val="cs-CZ"/>
        </w:rPr>
      </w:pPr>
      <w:r>
        <w:rPr>
          <w:rFonts w:ascii="Arial" w:hAnsi="Arial" w:cs="Arial"/>
          <w:color w:val="000000"/>
          <w:shd w:val="clear" w:color="auto" w:fill="FFFFFF"/>
          <w:lang w:val="cs-CZ"/>
        </w:rPr>
        <w:t xml:space="preserve">Ing. Bc. Jiří Nesrovnal,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1757</w:t>
      </w:r>
    </w:p>
    <w:p w14:paraId="7A79890B" w14:textId="5D2BFACC" w:rsidR="008C19AA" w:rsidRDefault="008C19AA" w:rsidP="008D4C3B">
      <w:pPr>
        <w:rPr>
          <w:rFonts w:ascii="Arial" w:hAnsi="Arial" w:cs="Arial"/>
          <w:b/>
          <w:color w:val="000000"/>
          <w:shd w:val="clear" w:color="auto" w:fill="FFFFFF"/>
          <w:lang w:val="cs-CZ"/>
        </w:rPr>
      </w:pPr>
    </w:p>
    <w:p w14:paraId="7B415998" w14:textId="77777777" w:rsidR="008D0BD9" w:rsidRDefault="008D0BD9" w:rsidP="008D4C3B">
      <w:pPr>
        <w:rPr>
          <w:rFonts w:ascii="Arial" w:hAnsi="Arial" w:cs="Arial"/>
          <w:b/>
          <w:color w:val="000000"/>
          <w:shd w:val="clear" w:color="auto" w:fill="FFFFFF"/>
          <w:lang w:val="cs-CZ"/>
        </w:rPr>
      </w:pPr>
    </w:p>
    <w:p w14:paraId="3A5B180A" w14:textId="77777777" w:rsidR="00CD6AF3" w:rsidRPr="00371022" w:rsidRDefault="00CD6AF3" w:rsidP="00CD6AF3">
      <w:pPr>
        <w:jc w:val="both"/>
        <w:rPr>
          <w:rFonts w:ascii="Arial" w:hAnsi="Arial" w:cs="Arial"/>
          <w:b/>
          <w:color w:val="000000"/>
          <w:sz w:val="32"/>
          <w:szCs w:val="32"/>
          <w:u w:val="single"/>
          <w:shd w:val="clear" w:color="auto" w:fill="FFFFFF"/>
          <w:lang w:val="cs-CZ"/>
        </w:rPr>
      </w:pPr>
      <w:r w:rsidRPr="00371022">
        <w:rPr>
          <w:rFonts w:ascii="Arial" w:hAnsi="Arial" w:cs="Arial"/>
          <w:b/>
          <w:color w:val="000000"/>
          <w:sz w:val="32"/>
          <w:szCs w:val="32"/>
          <w:highlight w:val="yellow"/>
          <w:u w:val="single"/>
          <w:shd w:val="clear" w:color="auto" w:fill="FFFFFF"/>
          <w:lang w:val="cs-CZ"/>
        </w:rPr>
        <w:t>ODLOŽENÝ PŘÍSPĚVEK</w:t>
      </w:r>
    </w:p>
    <w:p w14:paraId="473AF92A" w14:textId="7D736E70" w:rsidR="008D0BD9" w:rsidRDefault="008D0BD9" w:rsidP="008D0BD9">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3C7594DA" w14:textId="77777777" w:rsidR="008D0BD9" w:rsidRDefault="008D0BD9" w:rsidP="008D0BD9">
      <w:pPr>
        <w:rPr>
          <w:rFonts w:ascii="Arial" w:hAnsi="Arial" w:cs="Arial"/>
          <w:b/>
          <w:color w:val="000000"/>
          <w:u w:val="single"/>
          <w:shd w:val="clear" w:color="auto" w:fill="FFFFFF"/>
          <w:lang w:val="cs-CZ"/>
        </w:rPr>
      </w:pPr>
    </w:p>
    <w:p w14:paraId="05DC4BD0" w14:textId="6BA3713D" w:rsidR="008D0BD9" w:rsidRDefault="008D0BD9" w:rsidP="008D0BD9">
      <w:pPr>
        <w:rPr>
          <w:rFonts w:ascii="Arial" w:hAnsi="Arial" w:cs="Arial"/>
          <w:b/>
          <w:color w:val="000000"/>
          <w:shd w:val="clear" w:color="auto" w:fill="FFFFFF"/>
          <w:lang w:val="cs-CZ"/>
        </w:rPr>
      </w:pPr>
      <w:r w:rsidRPr="00691E34">
        <w:rPr>
          <w:rFonts w:ascii="Arial" w:hAnsi="Arial" w:cs="Arial"/>
          <w:b/>
          <w:color w:val="000000"/>
          <w:shd w:val="clear" w:color="auto" w:fill="FFFFFF"/>
          <w:lang w:val="cs-CZ"/>
        </w:rPr>
        <w:t>614/</w:t>
      </w:r>
      <w:r>
        <w:rPr>
          <w:rFonts w:ascii="Arial" w:hAnsi="Arial" w:cs="Arial"/>
          <w:b/>
          <w:color w:val="000000"/>
          <w:shd w:val="clear" w:color="auto" w:fill="FFFFFF"/>
          <w:lang w:val="cs-CZ"/>
        </w:rPr>
        <w:t xml:space="preserve">28.11.23 </w:t>
      </w:r>
      <w:r w:rsidRPr="00691E34">
        <w:rPr>
          <w:rFonts w:ascii="Arial" w:hAnsi="Arial" w:cs="Arial"/>
          <w:b/>
          <w:color w:val="000000"/>
          <w:shd w:val="clear" w:color="auto" w:fill="FFFFFF"/>
          <w:lang w:val="cs-CZ"/>
        </w:rPr>
        <w:t>Daňový režim výplaty podílu na likvidačním zůstatku v nepeněžní formě</w:t>
      </w:r>
      <w:r>
        <w:rPr>
          <w:rFonts w:ascii="Arial" w:hAnsi="Arial" w:cs="Arial"/>
          <w:b/>
          <w:color w:val="000000"/>
          <w:shd w:val="clear" w:color="auto" w:fill="FFFFFF"/>
          <w:lang w:val="cs-CZ"/>
        </w:rPr>
        <w:t xml:space="preserve">  </w:t>
      </w:r>
    </w:p>
    <w:p w14:paraId="6F550B27" w14:textId="77777777" w:rsidR="008D0BD9" w:rsidRDefault="008D0BD9" w:rsidP="008D0BD9">
      <w:pPr>
        <w:rPr>
          <w:rFonts w:ascii="Arial" w:hAnsi="Arial" w:cs="Arial"/>
          <w:color w:val="000000"/>
          <w:shd w:val="clear" w:color="auto" w:fill="FFFFFF"/>
          <w:lang w:val="cs-CZ"/>
        </w:rPr>
      </w:pPr>
      <w:r w:rsidRPr="00691E34">
        <w:rPr>
          <w:rFonts w:ascii="Arial" w:hAnsi="Arial" w:cs="Arial"/>
          <w:color w:val="000000"/>
          <w:shd w:val="clear" w:color="auto" w:fill="FFFFFF"/>
          <w:lang w:val="cs-CZ"/>
        </w:rPr>
        <w:t>Předkládá:</w:t>
      </w:r>
      <w:r w:rsidRPr="00691E34">
        <w:rPr>
          <w:rFonts w:ascii="Arial" w:hAnsi="Arial" w:cs="Arial"/>
          <w:color w:val="000000"/>
          <w:shd w:val="clear" w:color="auto" w:fill="FFFFFF"/>
          <w:lang w:val="cs-CZ"/>
        </w:rPr>
        <w:tab/>
        <w:t>JUDr. Ing</w:t>
      </w:r>
      <w:r>
        <w:rPr>
          <w:rFonts w:ascii="Arial" w:hAnsi="Arial" w:cs="Arial"/>
          <w:color w:val="000000"/>
          <w:shd w:val="clear" w:color="auto" w:fill="FFFFFF"/>
          <w:lang w:val="cs-CZ"/>
        </w:rPr>
        <w:t xml:space="preserve">. Martin Kopecký,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3826</w:t>
      </w:r>
    </w:p>
    <w:p w14:paraId="6530E25F" w14:textId="428DB6F7" w:rsidR="005E4E00" w:rsidRDefault="005E4E00" w:rsidP="008D4C3B">
      <w:pPr>
        <w:rPr>
          <w:rFonts w:ascii="Arial" w:hAnsi="Arial" w:cs="Arial"/>
          <w:b/>
          <w:color w:val="000000"/>
          <w:shd w:val="clear" w:color="auto" w:fill="FFFFFF"/>
          <w:lang w:val="cs-CZ"/>
        </w:rPr>
      </w:pPr>
    </w:p>
    <w:p w14:paraId="51B10635" w14:textId="77777777" w:rsidR="00CD6AF3" w:rsidRDefault="00CD6AF3" w:rsidP="008D4C3B">
      <w:pPr>
        <w:rPr>
          <w:rFonts w:ascii="Arial" w:hAnsi="Arial" w:cs="Arial"/>
          <w:b/>
          <w:color w:val="000000"/>
          <w:shd w:val="clear" w:color="auto" w:fill="FFFFFF"/>
          <w:lang w:val="cs-CZ"/>
        </w:rPr>
      </w:pPr>
    </w:p>
    <w:p w14:paraId="238B69DA" w14:textId="77777777" w:rsidR="008C19AA" w:rsidRPr="00CD6AF3" w:rsidRDefault="0049516A" w:rsidP="008D4C3B">
      <w:pPr>
        <w:rPr>
          <w:rFonts w:ascii="Arial" w:hAnsi="Arial" w:cs="Arial"/>
          <w:b/>
          <w:color w:val="000000"/>
          <w:sz w:val="32"/>
          <w:szCs w:val="32"/>
          <w:u w:val="single"/>
          <w:shd w:val="clear" w:color="auto" w:fill="FFFFFF"/>
          <w:lang w:val="cs-CZ"/>
        </w:rPr>
      </w:pPr>
      <w:r w:rsidRPr="00CD6AF3">
        <w:rPr>
          <w:rFonts w:ascii="Arial" w:hAnsi="Arial" w:cs="Arial"/>
          <w:b/>
          <w:color w:val="000000"/>
          <w:sz w:val="32"/>
          <w:szCs w:val="32"/>
          <w:highlight w:val="yellow"/>
          <w:u w:val="single"/>
          <w:shd w:val="clear" w:color="auto" w:fill="FFFFFF"/>
          <w:lang w:val="cs-CZ"/>
        </w:rPr>
        <w:t>NEUZAVŘENÝ PŘÍSPĚVEK</w:t>
      </w:r>
    </w:p>
    <w:p w14:paraId="658CCCC1" w14:textId="77777777" w:rsidR="0049516A" w:rsidRDefault="0049516A" w:rsidP="0049516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6597F1D6" w14:textId="77777777" w:rsidR="0049516A" w:rsidRPr="0049516A" w:rsidRDefault="0049516A" w:rsidP="008D4C3B">
      <w:pPr>
        <w:rPr>
          <w:rFonts w:ascii="Arial" w:hAnsi="Arial" w:cs="Arial"/>
          <w:b/>
          <w:color w:val="000000"/>
          <w:u w:val="single"/>
          <w:shd w:val="clear" w:color="auto" w:fill="FFFFFF"/>
          <w:lang w:val="cs-CZ"/>
        </w:rPr>
      </w:pPr>
    </w:p>
    <w:p w14:paraId="6741CA45" w14:textId="1517153B" w:rsidR="0049516A" w:rsidRPr="006F7F9C" w:rsidRDefault="0049516A" w:rsidP="0049516A">
      <w:pPr>
        <w:rPr>
          <w:rFonts w:ascii="Arial" w:hAnsi="Arial" w:cs="Arial"/>
          <w:b/>
          <w:color w:val="000000"/>
          <w:shd w:val="clear" w:color="auto" w:fill="FFFFFF"/>
          <w:lang w:val="cs-CZ"/>
        </w:rPr>
      </w:pPr>
      <w:r w:rsidRPr="006F7F9C">
        <w:rPr>
          <w:rFonts w:ascii="Arial" w:hAnsi="Arial" w:cs="Arial"/>
          <w:b/>
          <w:color w:val="000000"/>
          <w:shd w:val="clear" w:color="auto" w:fill="FFFFFF"/>
          <w:lang w:val="cs-CZ"/>
        </w:rPr>
        <w:t xml:space="preserve">607/03.05.23 Odvod z elektřiny ze slunečního záření </w:t>
      </w:r>
    </w:p>
    <w:p w14:paraId="61F9B05A" w14:textId="77777777" w:rsidR="0049516A" w:rsidRPr="006F7F9C" w:rsidRDefault="0049516A" w:rsidP="0049516A">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42EF4D21" w14:textId="77777777" w:rsidR="0049516A" w:rsidRPr="008C19AA" w:rsidRDefault="0049516A" w:rsidP="0049516A">
      <w:pPr>
        <w:rPr>
          <w:rFonts w:ascii="Arial" w:hAnsi="Arial" w:cs="Arial"/>
          <w:color w:val="000000"/>
          <w:u w:val="single"/>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716EBC0F" w14:textId="1F694CD3" w:rsidR="0049516A" w:rsidRDefault="0049516A" w:rsidP="008D4C3B">
      <w:pPr>
        <w:rPr>
          <w:rFonts w:ascii="Arial" w:hAnsi="Arial" w:cs="Arial"/>
          <w:b/>
          <w:color w:val="000000"/>
          <w:u w:val="single"/>
          <w:shd w:val="clear" w:color="auto" w:fill="FFFFFF"/>
          <w:lang w:val="cs-CZ"/>
        </w:rPr>
      </w:pPr>
    </w:p>
    <w:p w14:paraId="25B50D3A" w14:textId="77777777" w:rsidR="005E4E00" w:rsidRDefault="005E4E00" w:rsidP="008D4C3B">
      <w:pPr>
        <w:rPr>
          <w:rFonts w:ascii="Arial" w:hAnsi="Arial" w:cs="Arial"/>
          <w:b/>
          <w:color w:val="000000"/>
          <w:u w:val="single"/>
          <w:shd w:val="clear" w:color="auto" w:fill="FFFFFF"/>
          <w:lang w:val="cs-CZ"/>
        </w:rPr>
      </w:pPr>
    </w:p>
    <w:p w14:paraId="191FB0A0" w14:textId="77777777" w:rsidR="006F298B" w:rsidRPr="006F298B" w:rsidRDefault="006F298B" w:rsidP="006F298B">
      <w:pP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t xml:space="preserve">PŘÍSPĚVEK UZAVŘEN </w:t>
      </w:r>
      <w:r>
        <w:rPr>
          <w:rFonts w:ascii="Arial" w:hAnsi="Arial" w:cs="Arial"/>
          <w:b/>
          <w:sz w:val="32"/>
          <w:szCs w:val="32"/>
          <w:highlight w:val="yellow"/>
          <w:u w:val="single"/>
          <w:lang w:val="cs-CZ" w:eastAsia="cs-CZ"/>
        </w:rPr>
        <w:t>BEZ</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U</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28</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11</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3FFAEBE3" w14:textId="77777777" w:rsidR="008C19AA" w:rsidRDefault="008C19AA" w:rsidP="008C19A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1838477F" w14:textId="77777777" w:rsidR="008C19AA" w:rsidRDefault="008C19AA" w:rsidP="008C19AA">
      <w:pPr>
        <w:rPr>
          <w:rFonts w:ascii="Arial" w:hAnsi="Arial" w:cs="Arial"/>
          <w:b/>
          <w:color w:val="000000"/>
          <w:u w:val="single"/>
          <w:shd w:val="clear" w:color="auto" w:fill="FFFFFF"/>
          <w:lang w:val="cs-CZ"/>
        </w:rPr>
      </w:pPr>
    </w:p>
    <w:p w14:paraId="421B996B" w14:textId="31963966" w:rsidR="008C19AA" w:rsidRPr="000C714D" w:rsidRDefault="008C19AA" w:rsidP="008C19AA">
      <w:pPr>
        <w:rPr>
          <w:rFonts w:ascii="Arial" w:hAnsi="Arial" w:cs="Arial"/>
          <w:b/>
          <w:color w:val="000000"/>
          <w:shd w:val="clear" w:color="auto" w:fill="FFFFFF"/>
          <w:lang w:val="cs-CZ"/>
        </w:rPr>
      </w:pPr>
      <w:r>
        <w:rPr>
          <w:rFonts w:ascii="Arial" w:hAnsi="Arial" w:cs="Arial"/>
          <w:b/>
          <w:color w:val="000000"/>
          <w:shd w:val="clear" w:color="auto" w:fill="FFFFFF"/>
          <w:lang w:val="cs-CZ"/>
        </w:rPr>
        <w:t>611</w:t>
      </w:r>
      <w:r w:rsidRPr="000C714D">
        <w:rPr>
          <w:rFonts w:ascii="Arial" w:hAnsi="Arial" w:cs="Arial"/>
          <w:b/>
          <w:color w:val="000000"/>
          <w:shd w:val="clear" w:color="auto" w:fill="FFFFFF"/>
          <w:lang w:val="cs-CZ"/>
        </w:rPr>
        <w:t>/21.06.23 Určení daňové rezidence trustů a trustových struktur</w:t>
      </w:r>
      <w:r w:rsidR="00922624">
        <w:rPr>
          <w:rFonts w:ascii="Arial" w:hAnsi="Arial" w:cs="Arial"/>
          <w:b/>
          <w:color w:val="000000"/>
          <w:shd w:val="clear" w:color="auto" w:fill="FFFFFF"/>
          <w:lang w:val="cs-CZ"/>
        </w:rPr>
        <w:t xml:space="preserve"> </w:t>
      </w:r>
    </w:p>
    <w:p w14:paraId="37D9863F" w14:textId="77777777" w:rsidR="008C19AA" w:rsidRDefault="008C19AA" w:rsidP="008C19AA">
      <w:pPr>
        <w:rPr>
          <w:rFonts w:ascii="Arial" w:hAnsi="Arial" w:cs="Arial"/>
          <w:color w:val="000000"/>
          <w:shd w:val="clear" w:color="auto" w:fill="FFFFFF"/>
          <w:lang w:val="cs-CZ"/>
        </w:rPr>
      </w:pPr>
      <w:r>
        <w:rPr>
          <w:rFonts w:ascii="Arial" w:hAnsi="Arial" w:cs="Arial"/>
          <w:color w:val="000000"/>
          <w:shd w:val="clear" w:color="auto" w:fill="FFFFFF"/>
          <w:lang w:val="cs-CZ"/>
        </w:rPr>
        <w:t>Předkládá:</w:t>
      </w:r>
      <w:r>
        <w:rPr>
          <w:rFonts w:ascii="Arial" w:hAnsi="Arial" w:cs="Arial"/>
          <w:color w:val="000000"/>
          <w:shd w:val="clear" w:color="auto" w:fill="FFFFFF"/>
          <w:lang w:val="cs-CZ"/>
        </w:rPr>
        <w:tab/>
        <w:t xml:space="preserve">Ing. Helena Navrátilová,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133</w:t>
      </w:r>
    </w:p>
    <w:p w14:paraId="1FAC79DF" w14:textId="77777777" w:rsidR="002C50A4" w:rsidRPr="006F7F9C" w:rsidRDefault="00F74466" w:rsidP="00CE4513">
      <w:pPr>
        <w:ind w:left="708" w:firstLine="708"/>
        <w:rPr>
          <w:rFonts w:ascii="Arial" w:hAnsi="Arial" w:cs="Arial"/>
          <w:b/>
          <w:color w:val="000000"/>
          <w:u w:val="single"/>
          <w:shd w:val="clear" w:color="auto" w:fill="FFFFFF"/>
          <w:lang w:val="cs-CZ"/>
        </w:rPr>
      </w:pPr>
      <w:r w:rsidRPr="006F7F9C">
        <w:rPr>
          <w:rFonts w:ascii="Arial" w:hAnsi="Arial" w:cs="Arial"/>
          <w:b/>
          <w:color w:val="000000"/>
          <w:u w:val="single"/>
          <w:shd w:val="clear" w:color="auto" w:fill="FFFFFF"/>
          <w:lang w:val="cs-CZ"/>
        </w:rPr>
        <w:br w:type="page"/>
      </w:r>
    </w:p>
    <w:p w14:paraId="693E2B29" w14:textId="77777777" w:rsidR="00CD6AF3" w:rsidRPr="006F298B" w:rsidRDefault="00CD6AF3" w:rsidP="00CD6AF3">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lastRenderedPageBreak/>
        <w:t>PŘÍSPĚVEK UZAVŘEN 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EM KE DNI 28. 11. 2023</w:t>
      </w:r>
    </w:p>
    <w:p w14:paraId="509B36FC" w14:textId="5C06A82B" w:rsidR="000C714D" w:rsidRDefault="000C714D" w:rsidP="000C714D">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w:t>
      </w:r>
      <w:r w:rsidR="00754026">
        <w:rPr>
          <w:rFonts w:ascii="Arial" w:hAnsi="Arial" w:cs="Arial"/>
          <w:b/>
          <w:color w:val="000000"/>
          <w:u w:val="single"/>
          <w:shd w:val="clear" w:color="auto" w:fill="FFFFFF"/>
          <w:lang w:val="cs-CZ"/>
        </w:rPr>
        <w:t> </w:t>
      </w:r>
      <w:r>
        <w:rPr>
          <w:rFonts w:ascii="Arial" w:hAnsi="Arial" w:cs="Arial"/>
          <w:b/>
          <w:color w:val="000000"/>
          <w:u w:val="single"/>
          <w:shd w:val="clear" w:color="auto" w:fill="FFFFFF"/>
          <w:lang w:val="cs-CZ"/>
        </w:rPr>
        <w:t>příjmů</w:t>
      </w:r>
    </w:p>
    <w:p w14:paraId="6D99346A" w14:textId="77777777" w:rsidR="00754026" w:rsidRDefault="00754026" w:rsidP="000C714D">
      <w:pPr>
        <w:jc w:val="center"/>
        <w:rPr>
          <w:rFonts w:ascii="Arial" w:hAnsi="Arial" w:cs="Arial"/>
          <w:b/>
          <w:color w:val="000000"/>
          <w:u w:val="single"/>
          <w:shd w:val="clear" w:color="auto" w:fill="FFFFFF"/>
          <w:lang w:val="cs-CZ"/>
        </w:rPr>
      </w:pPr>
    </w:p>
    <w:p w14:paraId="297CC2AA" w14:textId="77777777" w:rsidR="008030AA" w:rsidRDefault="008030AA">
      <w:pPr>
        <w:rPr>
          <w:rFonts w:ascii="Arial" w:hAnsi="Arial" w:cs="Arial"/>
          <w:b/>
          <w:color w:val="000000"/>
          <w:shd w:val="clear" w:color="auto" w:fill="FFFFFF"/>
          <w:lang w:val="cs-CZ"/>
        </w:rPr>
      </w:pPr>
    </w:p>
    <w:p w14:paraId="25172363" w14:textId="77777777" w:rsidR="005E4E00" w:rsidRDefault="005E4E00" w:rsidP="005E4E00">
      <w:pPr>
        <w:rPr>
          <w:rFonts w:ascii="Arial" w:hAnsi="Arial" w:cs="Arial"/>
          <w:b/>
          <w:color w:val="000000"/>
          <w:shd w:val="clear" w:color="auto" w:fill="FFFFFF"/>
        </w:rPr>
      </w:pPr>
      <w:r w:rsidRPr="00691E34">
        <w:rPr>
          <w:rFonts w:ascii="Arial" w:hAnsi="Arial" w:cs="Arial"/>
          <w:b/>
          <w:color w:val="000000"/>
          <w:shd w:val="clear" w:color="auto" w:fill="FFFFFF"/>
        </w:rPr>
        <w:t xml:space="preserve">615/28.11.23 </w:t>
      </w:r>
      <w:proofErr w:type="spellStart"/>
      <w:r w:rsidRPr="00691E34">
        <w:rPr>
          <w:rFonts w:ascii="Arial" w:hAnsi="Arial" w:cs="Arial"/>
          <w:b/>
          <w:color w:val="000000"/>
          <w:shd w:val="clear" w:color="auto" w:fill="FFFFFF"/>
        </w:rPr>
        <w:t>Rozsah</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výnosů</w:t>
      </w:r>
      <w:proofErr w:type="spellEnd"/>
      <w:r w:rsidRPr="00691E34">
        <w:rPr>
          <w:rFonts w:ascii="Arial" w:hAnsi="Arial" w:cs="Arial"/>
          <w:b/>
          <w:color w:val="000000"/>
          <w:shd w:val="clear" w:color="auto" w:fill="FFFFFF"/>
        </w:rPr>
        <w:t xml:space="preserve"> z </w:t>
      </w:r>
      <w:proofErr w:type="spellStart"/>
      <w:r w:rsidRPr="00691E34">
        <w:rPr>
          <w:rFonts w:ascii="Arial" w:hAnsi="Arial" w:cs="Arial"/>
          <w:b/>
          <w:color w:val="000000"/>
          <w:shd w:val="clear" w:color="auto" w:fill="FFFFFF"/>
        </w:rPr>
        <w:t>poskytnutých</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úvěrů</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dle</w:t>
      </w:r>
      <w:proofErr w:type="spellEnd"/>
      <w:r w:rsidRPr="00691E34">
        <w:rPr>
          <w:rFonts w:ascii="Arial" w:hAnsi="Arial" w:cs="Arial"/>
          <w:b/>
          <w:color w:val="000000"/>
          <w:shd w:val="clear" w:color="auto" w:fill="FFFFFF"/>
        </w:rPr>
        <w:t xml:space="preserve"> § 5a </w:t>
      </w:r>
      <w:proofErr w:type="spellStart"/>
      <w:r w:rsidRPr="00691E34">
        <w:rPr>
          <w:rFonts w:ascii="Arial" w:hAnsi="Arial" w:cs="Arial"/>
          <w:b/>
          <w:color w:val="000000"/>
          <w:shd w:val="clear" w:color="auto" w:fill="FFFFFF"/>
        </w:rPr>
        <w:t>zákona</w:t>
      </w:r>
      <w:proofErr w:type="spellEnd"/>
      <w:r w:rsidRPr="00691E34">
        <w:rPr>
          <w:rFonts w:ascii="Arial" w:hAnsi="Arial" w:cs="Arial"/>
          <w:b/>
          <w:color w:val="000000"/>
          <w:shd w:val="clear" w:color="auto" w:fill="FFFFFF"/>
        </w:rPr>
        <w:t xml:space="preserve"> o </w:t>
      </w:r>
      <w:proofErr w:type="spellStart"/>
      <w:r w:rsidRPr="00691E34">
        <w:rPr>
          <w:rFonts w:ascii="Arial" w:hAnsi="Arial" w:cs="Arial"/>
          <w:b/>
          <w:color w:val="000000"/>
          <w:shd w:val="clear" w:color="auto" w:fill="FFFFFF"/>
        </w:rPr>
        <w:t>rezervách</w:t>
      </w:r>
      <w:proofErr w:type="spellEnd"/>
      <w:r w:rsidRPr="00691E34">
        <w:rPr>
          <w:rFonts w:ascii="Arial" w:hAnsi="Arial" w:cs="Arial"/>
          <w:b/>
          <w:color w:val="000000"/>
          <w:shd w:val="clear" w:color="auto" w:fill="FFFFFF"/>
        </w:rPr>
        <w:t xml:space="preserve"> </w:t>
      </w:r>
    </w:p>
    <w:p w14:paraId="03B56649" w14:textId="77777777" w:rsidR="005E4E00" w:rsidRPr="00691E34" w:rsidRDefault="005E4E00" w:rsidP="005E4E00">
      <w:pPr>
        <w:rPr>
          <w:rFonts w:ascii="Arial" w:hAnsi="Arial" w:cs="Arial"/>
          <w:b/>
          <w:color w:val="000000"/>
          <w:shd w:val="clear" w:color="auto" w:fill="FFFFFF"/>
        </w:rPr>
      </w:pPr>
    </w:p>
    <w:p w14:paraId="61219F69" w14:textId="77777777" w:rsidR="005E4E00" w:rsidRDefault="005E4E00" w:rsidP="005E4E00">
      <w:pPr>
        <w:rPr>
          <w:rFonts w:ascii="Arial" w:hAnsi="Arial" w:cs="Arial"/>
          <w:color w:val="000000"/>
          <w:shd w:val="clear" w:color="auto" w:fill="FFFFFF"/>
        </w:rPr>
      </w:pPr>
      <w:proofErr w:type="spellStart"/>
      <w:r>
        <w:rPr>
          <w:rFonts w:ascii="Arial" w:hAnsi="Arial" w:cs="Arial"/>
          <w:color w:val="000000"/>
          <w:shd w:val="clear" w:color="auto" w:fill="FFFFFF"/>
        </w:rPr>
        <w:t>Předkládají</w:t>
      </w:r>
      <w:proofErr w:type="spellEnd"/>
      <w:r>
        <w:rPr>
          <w:rFonts w:ascii="Arial" w:hAnsi="Arial" w:cs="Arial"/>
          <w:color w:val="000000"/>
          <w:shd w:val="clear" w:color="auto" w:fill="FFFFFF"/>
        </w:rPr>
        <w:t>:</w:t>
      </w:r>
      <w:r>
        <w:rPr>
          <w:rFonts w:ascii="Arial" w:hAnsi="Arial" w:cs="Arial"/>
          <w:color w:val="000000"/>
          <w:shd w:val="clear" w:color="auto" w:fill="FFFFFF"/>
        </w:rPr>
        <w:tab/>
      </w:r>
      <w:r w:rsidRPr="00691E34">
        <w:rPr>
          <w:rFonts w:ascii="Arial" w:hAnsi="Arial" w:cs="Arial"/>
          <w:color w:val="000000"/>
          <w:shd w:val="clear" w:color="auto" w:fill="FFFFFF"/>
        </w:rPr>
        <w:t xml:space="preserve">Ing. Ladislav </w:t>
      </w:r>
      <w:proofErr w:type="spellStart"/>
      <w:r w:rsidRPr="00691E34">
        <w:rPr>
          <w:rFonts w:ascii="Arial" w:hAnsi="Arial" w:cs="Arial"/>
          <w:color w:val="000000"/>
          <w:shd w:val="clear" w:color="auto" w:fill="FFFFFF"/>
        </w:rPr>
        <w:t>Malůšek</w:t>
      </w:r>
      <w:proofErr w:type="spellEnd"/>
      <w:r w:rsidRPr="00691E34">
        <w:rPr>
          <w:rFonts w:ascii="Arial" w:hAnsi="Arial" w:cs="Arial"/>
          <w:color w:val="000000"/>
          <w:shd w:val="clear" w:color="auto" w:fill="FFFFFF"/>
        </w:rPr>
        <w:t xml:space="preserve">, </w:t>
      </w:r>
      <w:proofErr w:type="spellStart"/>
      <w:r w:rsidRPr="00691E34">
        <w:rPr>
          <w:rFonts w:ascii="Arial" w:hAnsi="Arial" w:cs="Arial"/>
          <w:color w:val="000000"/>
          <w:shd w:val="clear" w:color="auto" w:fill="FFFFFF"/>
        </w:rPr>
        <w:t>daňový</w:t>
      </w:r>
      <w:proofErr w:type="spellEnd"/>
      <w:r w:rsidRPr="00691E34">
        <w:rPr>
          <w:rFonts w:ascii="Arial" w:hAnsi="Arial" w:cs="Arial"/>
          <w:color w:val="000000"/>
          <w:shd w:val="clear" w:color="auto" w:fill="FFFFFF"/>
        </w:rPr>
        <w:t xml:space="preserve"> </w:t>
      </w:r>
      <w:proofErr w:type="spellStart"/>
      <w:r w:rsidRPr="00691E34">
        <w:rPr>
          <w:rFonts w:ascii="Arial" w:hAnsi="Arial" w:cs="Arial"/>
          <w:color w:val="000000"/>
          <w:shd w:val="clear" w:color="auto" w:fill="FFFFFF"/>
        </w:rPr>
        <w:t>poradce</w:t>
      </w:r>
      <w:proofErr w:type="spellEnd"/>
      <w:r>
        <w:rPr>
          <w:rFonts w:ascii="Arial" w:hAnsi="Arial" w:cs="Arial"/>
          <w:color w:val="000000"/>
          <w:shd w:val="clear" w:color="auto" w:fill="FFFFFF"/>
        </w:rPr>
        <w:t>,</w:t>
      </w:r>
      <w:r w:rsidRPr="00691E34">
        <w:rPr>
          <w:rFonts w:ascii="Arial" w:hAnsi="Arial" w:cs="Arial"/>
          <w:color w:val="000000"/>
          <w:shd w:val="clear" w:color="auto" w:fill="FFFFFF"/>
        </w:rPr>
        <w:t xml:space="preserve"> č. </w:t>
      </w:r>
      <w:proofErr w:type="spellStart"/>
      <w:r>
        <w:rPr>
          <w:rFonts w:ascii="Arial" w:hAnsi="Arial" w:cs="Arial"/>
          <w:color w:val="000000"/>
          <w:shd w:val="clear" w:color="auto" w:fill="FFFFFF"/>
        </w:rPr>
        <w:t>osv</w:t>
      </w:r>
      <w:proofErr w:type="spellEnd"/>
      <w:r>
        <w:rPr>
          <w:rFonts w:ascii="Arial" w:hAnsi="Arial" w:cs="Arial"/>
          <w:color w:val="000000"/>
          <w:shd w:val="clear" w:color="auto" w:fill="FFFFFF"/>
        </w:rPr>
        <w:t xml:space="preserve">. </w:t>
      </w:r>
      <w:r w:rsidRPr="00691E34">
        <w:rPr>
          <w:rFonts w:ascii="Arial" w:hAnsi="Arial" w:cs="Arial"/>
          <w:color w:val="000000"/>
          <w:shd w:val="clear" w:color="auto" w:fill="FFFFFF"/>
        </w:rPr>
        <w:t xml:space="preserve">3990 </w:t>
      </w:r>
    </w:p>
    <w:p w14:paraId="61ED7561" w14:textId="77777777" w:rsidR="005E4E00" w:rsidRDefault="005E4E00" w:rsidP="005E4E00">
      <w:pPr>
        <w:ind w:left="708" w:firstLine="708"/>
        <w:rPr>
          <w:rFonts w:ascii="Arial" w:hAnsi="Arial" w:cs="Arial"/>
          <w:color w:val="000000"/>
          <w:shd w:val="clear" w:color="auto" w:fill="FFFFFF"/>
        </w:rPr>
      </w:pPr>
      <w:r w:rsidRPr="00691E34">
        <w:rPr>
          <w:rFonts w:ascii="Arial" w:hAnsi="Arial" w:cs="Arial"/>
          <w:color w:val="000000"/>
          <w:shd w:val="clear" w:color="auto" w:fill="FFFFFF"/>
        </w:rPr>
        <w:t xml:space="preserve">JUDr. Jana </w:t>
      </w:r>
      <w:proofErr w:type="spellStart"/>
      <w:r w:rsidRPr="00691E34">
        <w:rPr>
          <w:rFonts w:ascii="Arial" w:hAnsi="Arial" w:cs="Arial"/>
          <w:color w:val="000000"/>
          <w:shd w:val="clear" w:color="auto" w:fill="FFFFFF"/>
        </w:rPr>
        <w:t>Fuksová</w:t>
      </w:r>
      <w:proofErr w:type="spellEnd"/>
      <w:r w:rsidRPr="00691E34">
        <w:rPr>
          <w:rFonts w:ascii="Arial" w:hAnsi="Arial" w:cs="Arial"/>
          <w:color w:val="000000"/>
          <w:shd w:val="clear" w:color="auto" w:fill="FFFFFF"/>
        </w:rPr>
        <w:t xml:space="preserve">, LL.M., </w:t>
      </w:r>
      <w:proofErr w:type="spellStart"/>
      <w:r w:rsidRPr="00691E34">
        <w:rPr>
          <w:rFonts w:ascii="Arial" w:hAnsi="Arial" w:cs="Arial"/>
          <w:color w:val="000000"/>
          <w:shd w:val="clear" w:color="auto" w:fill="FFFFFF"/>
        </w:rPr>
        <w:t>daňový</w:t>
      </w:r>
      <w:proofErr w:type="spellEnd"/>
      <w:r w:rsidRPr="00691E34">
        <w:rPr>
          <w:rFonts w:ascii="Arial" w:hAnsi="Arial" w:cs="Arial"/>
          <w:color w:val="000000"/>
          <w:shd w:val="clear" w:color="auto" w:fill="FFFFFF"/>
        </w:rPr>
        <w:t xml:space="preserve"> </w:t>
      </w:r>
      <w:proofErr w:type="spellStart"/>
      <w:r w:rsidRPr="00691E34">
        <w:rPr>
          <w:rFonts w:ascii="Arial" w:hAnsi="Arial" w:cs="Arial"/>
          <w:color w:val="000000"/>
          <w:shd w:val="clear" w:color="auto" w:fill="FFFFFF"/>
        </w:rPr>
        <w:t>poradce</w:t>
      </w:r>
      <w:proofErr w:type="spellEnd"/>
      <w:r>
        <w:rPr>
          <w:rFonts w:ascii="Arial" w:hAnsi="Arial" w:cs="Arial"/>
          <w:color w:val="000000"/>
          <w:shd w:val="clear" w:color="auto" w:fill="FFFFFF"/>
        </w:rPr>
        <w:t>,</w:t>
      </w:r>
      <w:r w:rsidRPr="00691E34">
        <w:rPr>
          <w:rFonts w:ascii="Arial" w:hAnsi="Arial" w:cs="Arial"/>
          <w:color w:val="000000"/>
          <w:shd w:val="clear" w:color="auto" w:fill="FFFFFF"/>
        </w:rPr>
        <w:t xml:space="preserve"> č.</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osv</w:t>
      </w:r>
      <w:proofErr w:type="spellEnd"/>
      <w:r>
        <w:rPr>
          <w:rFonts w:ascii="Arial" w:hAnsi="Arial" w:cs="Arial"/>
          <w:color w:val="000000"/>
          <w:shd w:val="clear" w:color="auto" w:fill="FFFFFF"/>
        </w:rPr>
        <w:t>.</w:t>
      </w:r>
      <w:r w:rsidRPr="00691E34">
        <w:rPr>
          <w:rFonts w:ascii="Arial" w:hAnsi="Arial" w:cs="Arial"/>
          <w:color w:val="000000"/>
          <w:shd w:val="clear" w:color="auto" w:fill="FFFFFF"/>
        </w:rPr>
        <w:t xml:space="preserve"> 5029</w:t>
      </w:r>
    </w:p>
    <w:p w14:paraId="6DBCFC34" w14:textId="77777777" w:rsidR="005E4E00" w:rsidRPr="00EE60BF" w:rsidRDefault="005E4E00" w:rsidP="005E4E00">
      <w:pPr>
        <w:jc w:val="both"/>
        <w:rPr>
          <w:rFonts w:ascii="Arial" w:hAnsi="Arial" w:cs="Arial"/>
          <w:b/>
          <w:bCs/>
        </w:rPr>
      </w:pPr>
    </w:p>
    <w:p w14:paraId="06243B4C" w14:textId="77777777" w:rsidR="005E4E00" w:rsidRPr="008030AA" w:rsidRDefault="005E4E00" w:rsidP="005E4E00">
      <w:pPr>
        <w:jc w:val="both"/>
        <w:rPr>
          <w:rFonts w:ascii="Arial" w:hAnsi="Arial" w:cs="Arial"/>
        </w:rPr>
      </w:pPr>
    </w:p>
    <w:p w14:paraId="3703955F" w14:textId="77777777" w:rsidR="005E4E00" w:rsidRPr="008030AA" w:rsidRDefault="005E4E00" w:rsidP="005E4E00">
      <w:pPr>
        <w:jc w:val="both"/>
        <w:rPr>
          <w:rFonts w:ascii="Arial" w:hAnsi="Arial" w:cs="Arial"/>
          <w:b/>
          <w:color w:val="000000"/>
          <w:shd w:val="clear" w:color="auto" w:fill="FFFFFF"/>
        </w:rPr>
      </w:pPr>
      <w:r w:rsidRPr="008030AA">
        <w:rPr>
          <w:rFonts w:ascii="Arial" w:hAnsi="Arial" w:cs="Arial"/>
          <w:b/>
          <w:color w:val="000000"/>
          <w:shd w:val="clear" w:color="auto" w:fill="FFFFFF"/>
        </w:rPr>
        <w:t xml:space="preserve">1 </w:t>
      </w:r>
      <w:proofErr w:type="spellStart"/>
      <w:r w:rsidRPr="008030AA">
        <w:rPr>
          <w:rFonts w:ascii="Arial" w:hAnsi="Arial" w:cs="Arial"/>
          <w:b/>
          <w:color w:val="000000"/>
          <w:shd w:val="clear" w:color="auto" w:fill="FFFFFF"/>
        </w:rPr>
        <w:t>Popis</w:t>
      </w:r>
      <w:proofErr w:type="spellEnd"/>
      <w:r w:rsidRPr="008030AA">
        <w:rPr>
          <w:rFonts w:ascii="Arial" w:hAnsi="Arial" w:cs="Arial"/>
          <w:b/>
          <w:color w:val="000000"/>
          <w:shd w:val="clear" w:color="auto" w:fill="FFFFFF"/>
        </w:rPr>
        <w:t xml:space="preserve"> </w:t>
      </w:r>
      <w:proofErr w:type="spellStart"/>
      <w:r w:rsidRPr="008030AA">
        <w:rPr>
          <w:rFonts w:ascii="Arial" w:hAnsi="Arial" w:cs="Arial"/>
          <w:b/>
          <w:color w:val="000000"/>
          <w:shd w:val="clear" w:color="auto" w:fill="FFFFFF"/>
        </w:rPr>
        <w:t>problému</w:t>
      </w:r>
      <w:proofErr w:type="spellEnd"/>
      <w:r w:rsidRPr="008030AA">
        <w:rPr>
          <w:rFonts w:ascii="Arial" w:hAnsi="Arial" w:cs="Arial"/>
          <w:b/>
          <w:color w:val="000000"/>
          <w:shd w:val="clear" w:color="auto" w:fill="FFFFFF"/>
        </w:rPr>
        <w:t xml:space="preserve"> </w:t>
      </w:r>
    </w:p>
    <w:p w14:paraId="1F863149" w14:textId="77777777" w:rsidR="005E4E00" w:rsidRDefault="005E4E00" w:rsidP="005E4E00">
      <w:pPr>
        <w:jc w:val="both"/>
        <w:rPr>
          <w:rFonts w:ascii="Arial" w:hAnsi="Arial" w:cs="Arial"/>
          <w:color w:val="000000"/>
          <w:shd w:val="clear" w:color="auto" w:fill="FFFFFF"/>
        </w:rPr>
      </w:pPr>
    </w:p>
    <w:p w14:paraId="7A1D73D7" w14:textId="77777777" w:rsidR="005E4E00" w:rsidRDefault="005E4E00" w:rsidP="005E4E00">
      <w:pPr>
        <w:jc w:val="both"/>
        <w:rPr>
          <w:rFonts w:ascii="Arial" w:hAnsi="Arial" w:cs="Arial"/>
          <w:color w:val="000000"/>
          <w:shd w:val="clear" w:color="auto" w:fill="FFFFFF"/>
        </w:rPr>
      </w:pPr>
      <w:proofErr w:type="spellStart"/>
      <w:r w:rsidRPr="008030AA">
        <w:rPr>
          <w:rFonts w:ascii="Arial" w:hAnsi="Arial" w:cs="Arial"/>
          <w:color w:val="000000"/>
          <w:shd w:val="clear" w:color="auto" w:fill="FFFFFF"/>
        </w:rPr>
        <w:t>Tento</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příspěvek</w:t>
      </w:r>
      <w:proofErr w:type="spellEnd"/>
      <w:r w:rsidRPr="008030AA">
        <w:rPr>
          <w:rFonts w:ascii="Arial" w:hAnsi="Arial" w:cs="Arial"/>
          <w:color w:val="000000"/>
          <w:shd w:val="clear" w:color="auto" w:fill="FFFFFF"/>
        </w:rPr>
        <w:t xml:space="preserve"> se </w:t>
      </w:r>
      <w:proofErr w:type="spellStart"/>
      <w:r w:rsidRPr="008030AA">
        <w:rPr>
          <w:rFonts w:ascii="Arial" w:hAnsi="Arial" w:cs="Arial"/>
          <w:color w:val="000000"/>
          <w:shd w:val="clear" w:color="auto" w:fill="FFFFFF"/>
        </w:rPr>
        <w:t>zabývá</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problematikou</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daňových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opravných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položek</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podle</w:t>
      </w:r>
      <w:proofErr w:type="spellEnd"/>
      <w:r w:rsidRPr="008030AA">
        <w:rPr>
          <w:rFonts w:ascii="Arial" w:hAnsi="Arial" w:cs="Arial"/>
          <w:color w:val="000000"/>
          <w:shd w:val="clear" w:color="auto" w:fill="FFFFFF"/>
        </w:rPr>
        <w:t xml:space="preserve"> § 5a </w:t>
      </w:r>
      <w:proofErr w:type="spellStart"/>
      <w:r w:rsidRPr="008030AA">
        <w:rPr>
          <w:rFonts w:ascii="Arial" w:hAnsi="Arial" w:cs="Arial"/>
          <w:color w:val="000000"/>
          <w:shd w:val="clear" w:color="auto" w:fill="FFFFFF"/>
        </w:rPr>
        <w:t>zákona</w:t>
      </w:r>
      <w:proofErr w:type="spellEnd"/>
      <w:r w:rsidRPr="008030AA">
        <w:rPr>
          <w:rFonts w:ascii="Arial" w:hAnsi="Arial" w:cs="Arial"/>
          <w:color w:val="000000"/>
          <w:shd w:val="clear" w:color="auto" w:fill="FFFFFF"/>
        </w:rPr>
        <w:t xml:space="preserve"> č. 593/1992 Sb., o </w:t>
      </w:r>
      <w:proofErr w:type="spellStart"/>
      <w:r w:rsidRPr="008030AA">
        <w:rPr>
          <w:rFonts w:ascii="Arial" w:hAnsi="Arial" w:cs="Arial"/>
          <w:color w:val="000000"/>
          <w:shd w:val="clear" w:color="auto" w:fill="FFFFFF"/>
        </w:rPr>
        <w:t>rezervách</w:t>
      </w:r>
      <w:proofErr w:type="spellEnd"/>
      <w:r w:rsidRPr="008030AA">
        <w:rPr>
          <w:rFonts w:ascii="Arial" w:hAnsi="Arial" w:cs="Arial"/>
          <w:color w:val="000000"/>
          <w:shd w:val="clear" w:color="auto" w:fill="FFFFFF"/>
        </w:rPr>
        <w:t xml:space="preserve"> pro </w:t>
      </w:r>
      <w:proofErr w:type="spellStart"/>
      <w:r w:rsidRPr="008030AA">
        <w:rPr>
          <w:rFonts w:ascii="Arial" w:hAnsi="Arial" w:cs="Arial"/>
          <w:color w:val="000000"/>
          <w:shd w:val="clear" w:color="auto" w:fill="FFFFFF"/>
        </w:rPr>
        <w:t>zjištění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základu</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daně</w:t>
      </w:r>
      <w:proofErr w:type="spellEnd"/>
      <w:r w:rsidRPr="008030AA">
        <w:rPr>
          <w:rFonts w:ascii="Arial" w:hAnsi="Arial" w:cs="Arial"/>
          <w:color w:val="000000"/>
          <w:shd w:val="clear" w:color="auto" w:fill="FFFFFF"/>
        </w:rPr>
        <w:t xml:space="preserve"> z </w:t>
      </w:r>
      <w:proofErr w:type="spellStart"/>
      <w:r w:rsidRPr="008030AA">
        <w:rPr>
          <w:rFonts w:ascii="Arial" w:hAnsi="Arial" w:cs="Arial"/>
          <w:color w:val="000000"/>
          <w:shd w:val="clear" w:color="auto" w:fill="FFFFFF"/>
        </w:rPr>
        <w:t>příjmů</w:t>
      </w:r>
      <w:proofErr w:type="spellEnd"/>
      <w:r w:rsidRPr="008030AA">
        <w:rPr>
          <w:rFonts w:ascii="Arial" w:hAnsi="Arial" w:cs="Arial"/>
          <w:color w:val="000000"/>
          <w:shd w:val="clear" w:color="auto" w:fill="FFFFFF"/>
        </w:rPr>
        <w:t xml:space="preserve">, ve </w:t>
      </w:r>
      <w:proofErr w:type="spellStart"/>
      <w:r w:rsidRPr="008030AA">
        <w:rPr>
          <w:rFonts w:ascii="Arial" w:hAnsi="Arial" w:cs="Arial"/>
          <w:color w:val="000000"/>
          <w:shd w:val="clear" w:color="auto" w:fill="FFFFFF"/>
        </w:rPr>
        <w:t>znění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pozdějších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předpisů</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dále</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jen</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zákon</w:t>
      </w:r>
      <w:proofErr w:type="spellEnd"/>
      <w:r w:rsidRPr="008030AA">
        <w:rPr>
          <w:rFonts w:ascii="Arial" w:hAnsi="Arial" w:cs="Arial"/>
          <w:color w:val="000000"/>
          <w:shd w:val="clear" w:color="auto" w:fill="FFFFFF"/>
        </w:rPr>
        <w:t xml:space="preserve"> o </w:t>
      </w:r>
      <w:proofErr w:type="spellStart"/>
      <w:proofErr w:type="gramStart"/>
      <w:r w:rsidRPr="008030AA">
        <w:rPr>
          <w:rFonts w:ascii="Arial" w:hAnsi="Arial" w:cs="Arial"/>
          <w:color w:val="000000"/>
          <w:shd w:val="clear" w:color="auto" w:fill="FFFFFF"/>
        </w:rPr>
        <w:t>rezervách</w:t>
      </w:r>
      <w:proofErr w:type="spellEnd"/>
      <w:r w:rsidRPr="008030AA">
        <w:rPr>
          <w:rFonts w:ascii="Arial" w:hAnsi="Arial" w:cs="Arial"/>
          <w:color w:val="000000"/>
          <w:shd w:val="clear" w:color="auto" w:fill="FFFFFF"/>
        </w:rPr>
        <w:t>“</w:t>
      </w:r>
      <w:proofErr w:type="gram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konkrétně</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vymezením</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kvalifikačních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podmínek</w:t>
      </w:r>
      <w:proofErr w:type="spellEnd"/>
      <w:r w:rsidRPr="008030AA">
        <w:rPr>
          <w:rFonts w:ascii="Arial" w:hAnsi="Arial" w:cs="Arial"/>
          <w:color w:val="000000"/>
          <w:shd w:val="clear" w:color="auto" w:fill="FFFFFF"/>
        </w:rPr>
        <w:t xml:space="preserve"> pro </w:t>
      </w:r>
      <w:proofErr w:type="spellStart"/>
      <w:r w:rsidRPr="008030AA">
        <w:rPr>
          <w:rFonts w:ascii="Arial" w:hAnsi="Arial" w:cs="Arial"/>
          <w:color w:val="000000"/>
          <w:shd w:val="clear" w:color="auto" w:fill="FFFFFF"/>
        </w:rPr>
        <w:t>ostatní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finanční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instituce</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Příspěvek</w:t>
      </w:r>
      <w:proofErr w:type="spellEnd"/>
      <w:r w:rsidRPr="008030AA">
        <w:rPr>
          <w:rFonts w:ascii="Arial" w:hAnsi="Arial" w:cs="Arial"/>
          <w:color w:val="000000"/>
          <w:shd w:val="clear" w:color="auto" w:fill="FFFFFF"/>
        </w:rPr>
        <w:t xml:space="preserve"> se </w:t>
      </w:r>
      <w:proofErr w:type="spellStart"/>
      <w:r w:rsidRPr="008030AA">
        <w:rPr>
          <w:rFonts w:ascii="Arial" w:hAnsi="Arial" w:cs="Arial"/>
          <w:color w:val="000000"/>
          <w:shd w:val="clear" w:color="auto" w:fill="FFFFFF"/>
        </w:rPr>
        <w:t>zaměřuje</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na</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vymezení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pojmu</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výnosy</w:t>
      </w:r>
      <w:proofErr w:type="spellEnd"/>
      <w:r w:rsidRPr="008030AA">
        <w:rPr>
          <w:rFonts w:ascii="Arial" w:hAnsi="Arial" w:cs="Arial"/>
          <w:color w:val="000000"/>
          <w:shd w:val="clear" w:color="auto" w:fill="FFFFFF"/>
        </w:rPr>
        <w:t xml:space="preserve"> z </w:t>
      </w:r>
      <w:proofErr w:type="spellStart"/>
      <w:r w:rsidRPr="008030AA">
        <w:rPr>
          <w:rFonts w:ascii="Arial" w:hAnsi="Arial" w:cs="Arial"/>
          <w:color w:val="000000"/>
          <w:shd w:val="clear" w:color="auto" w:fill="FFFFFF"/>
        </w:rPr>
        <w:t>poskytnutých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úvěrů</w:t>
      </w:r>
      <w:proofErr w:type="spellEnd"/>
      <w:r w:rsidRPr="008030AA">
        <w:rPr>
          <w:rFonts w:ascii="Arial" w:hAnsi="Arial" w:cs="Arial"/>
          <w:color w:val="000000"/>
          <w:shd w:val="clear" w:color="auto" w:fill="FFFFFF"/>
        </w:rPr>
        <w:t xml:space="preserve"> ve </w:t>
      </w:r>
      <w:proofErr w:type="spellStart"/>
      <w:r w:rsidRPr="008030AA">
        <w:rPr>
          <w:rFonts w:ascii="Arial" w:hAnsi="Arial" w:cs="Arial"/>
          <w:color w:val="000000"/>
          <w:shd w:val="clear" w:color="auto" w:fill="FFFFFF"/>
        </w:rPr>
        <w:t>smyslu</w:t>
      </w:r>
      <w:proofErr w:type="spellEnd"/>
      <w:r w:rsidRPr="008030AA">
        <w:rPr>
          <w:rFonts w:ascii="Arial" w:hAnsi="Arial" w:cs="Arial"/>
          <w:color w:val="000000"/>
          <w:shd w:val="clear" w:color="auto" w:fill="FFFFFF"/>
        </w:rPr>
        <w:t xml:space="preserve"> § 5a </w:t>
      </w:r>
      <w:proofErr w:type="spellStart"/>
      <w:r w:rsidRPr="008030AA">
        <w:rPr>
          <w:rFonts w:ascii="Arial" w:hAnsi="Arial" w:cs="Arial"/>
          <w:color w:val="000000"/>
          <w:shd w:val="clear" w:color="auto" w:fill="FFFFFF"/>
        </w:rPr>
        <w:t>odst</w:t>
      </w:r>
      <w:proofErr w:type="spellEnd"/>
      <w:r w:rsidRPr="008030AA">
        <w:rPr>
          <w:rFonts w:ascii="Arial" w:hAnsi="Arial" w:cs="Arial"/>
          <w:color w:val="000000"/>
          <w:shd w:val="clear" w:color="auto" w:fill="FFFFFF"/>
        </w:rPr>
        <w:t xml:space="preserve">. 2 </w:t>
      </w:r>
      <w:proofErr w:type="spellStart"/>
      <w:r w:rsidRPr="008030AA">
        <w:rPr>
          <w:rFonts w:ascii="Arial" w:hAnsi="Arial" w:cs="Arial"/>
          <w:color w:val="000000"/>
          <w:shd w:val="clear" w:color="auto" w:fill="FFFFFF"/>
        </w:rPr>
        <w:t>písm</w:t>
      </w:r>
      <w:proofErr w:type="spellEnd"/>
      <w:r w:rsidRPr="008030AA">
        <w:rPr>
          <w:rFonts w:ascii="Arial" w:hAnsi="Arial" w:cs="Arial"/>
          <w:color w:val="000000"/>
          <w:shd w:val="clear" w:color="auto" w:fill="FFFFFF"/>
        </w:rPr>
        <w:t xml:space="preserve">. b) </w:t>
      </w:r>
      <w:proofErr w:type="spellStart"/>
      <w:r w:rsidRPr="008030AA">
        <w:rPr>
          <w:rFonts w:ascii="Arial" w:hAnsi="Arial" w:cs="Arial"/>
          <w:color w:val="000000"/>
          <w:shd w:val="clear" w:color="auto" w:fill="FFFFFF"/>
        </w:rPr>
        <w:t>zákona</w:t>
      </w:r>
      <w:proofErr w:type="spellEnd"/>
      <w:r w:rsidRPr="008030AA">
        <w:rPr>
          <w:rFonts w:ascii="Arial" w:hAnsi="Arial" w:cs="Arial"/>
          <w:color w:val="000000"/>
          <w:shd w:val="clear" w:color="auto" w:fill="FFFFFF"/>
        </w:rPr>
        <w:t xml:space="preserve"> o </w:t>
      </w:r>
      <w:proofErr w:type="spellStart"/>
      <w:r w:rsidRPr="008030AA">
        <w:rPr>
          <w:rFonts w:ascii="Arial" w:hAnsi="Arial" w:cs="Arial"/>
          <w:color w:val="000000"/>
          <w:shd w:val="clear" w:color="auto" w:fill="FFFFFF"/>
        </w:rPr>
        <w:t>rezervách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dále</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také</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jako</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kvalifikované</w:t>
      </w:r>
      <w:proofErr w:type="spellEnd"/>
      <w:r w:rsidRPr="008030AA">
        <w:rPr>
          <w:rFonts w:ascii="Arial" w:hAnsi="Arial" w:cs="Arial"/>
          <w:color w:val="000000"/>
          <w:shd w:val="clear" w:color="auto" w:fill="FFFFFF"/>
        </w:rPr>
        <w:t xml:space="preserve"> </w:t>
      </w:r>
      <w:proofErr w:type="spellStart"/>
      <w:proofErr w:type="gramStart"/>
      <w:r w:rsidRPr="008030AA">
        <w:rPr>
          <w:rFonts w:ascii="Arial" w:hAnsi="Arial" w:cs="Arial"/>
          <w:color w:val="000000"/>
          <w:shd w:val="clear" w:color="auto" w:fill="FFFFFF"/>
        </w:rPr>
        <w:t>výnosy</w:t>
      </w:r>
      <w:proofErr w:type="spellEnd"/>
      <w:r w:rsidRPr="008030AA">
        <w:rPr>
          <w:rFonts w:ascii="Arial" w:hAnsi="Arial" w:cs="Arial"/>
          <w:color w:val="000000"/>
          <w:shd w:val="clear" w:color="auto" w:fill="FFFFFF"/>
        </w:rPr>
        <w:t>“</w:t>
      </w:r>
      <w:proofErr w:type="gramEnd"/>
      <w:r w:rsidRPr="008030AA">
        <w:rPr>
          <w:rFonts w:ascii="Arial" w:hAnsi="Arial" w:cs="Arial"/>
          <w:color w:val="000000"/>
          <w:shd w:val="clear" w:color="auto" w:fill="FFFFFF"/>
        </w:rPr>
        <w:t xml:space="preserve">). </w:t>
      </w:r>
    </w:p>
    <w:p w14:paraId="56F1F365" w14:textId="77777777" w:rsidR="005E4E00" w:rsidRDefault="005E4E00" w:rsidP="005E4E00">
      <w:pPr>
        <w:jc w:val="both"/>
        <w:rPr>
          <w:rFonts w:ascii="Arial" w:hAnsi="Arial" w:cs="Arial"/>
          <w:color w:val="000000"/>
          <w:shd w:val="clear" w:color="auto" w:fill="FFFFFF"/>
        </w:rPr>
      </w:pPr>
    </w:p>
    <w:p w14:paraId="1B133FF0" w14:textId="77777777" w:rsidR="005E4E00" w:rsidRPr="00305E34" w:rsidRDefault="005E4E00" w:rsidP="005E4E00">
      <w:pPr>
        <w:jc w:val="both"/>
        <w:rPr>
          <w:rFonts w:ascii="Arial" w:hAnsi="Arial" w:cs="Arial"/>
          <w:color w:val="000000"/>
          <w:shd w:val="clear" w:color="auto" w:fill="FFFFFF"/>
        </w:rPr>
      </w:pPr>
      <w:proofErr w:type="spellStart"/>
      <w:r w:rsidRPr="008030AA">
        <w:rPr>
          <w:rFonts w:ascii="Arial" w:hAnsi="Arial" w:cs="Arial"/>
          <w:color w:val="000000"/>
          <w:shd w:val="clear" w:color="auto" w:fill="FFFFFF"/>
        </w:rPr>
        <w:t>Předkladatelé</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tímto</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příspěvkem</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navazují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na</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svůj</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předešlý</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příspěvek</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na</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koordinační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výbor</w:t>
      </w:r>
      <w:proofErr w:type="spellEnd"/>
      <w:r w:rsidRPr="008030AA">
        <w:rPr>
          <w:rFonts w:ascii="Arial" w:hAnsi="Arial" w:cs="Arial"/>
          <w:color w:val="000000"/>
          <w:shd w:val="clear" w:color="auto" w:fill="FFFFFF"/>
        </w:rPr>
        <w:t xml:space="preserve"> č. 501/10.05.17 z 5. </w:t>
      </w:r>
      <w:proofErr w:type="spellStart"/>
      <w:r w:rsidRPr="008030AA">
        <w:rPr>
          <w:rFonts w:ascii="Arial" w:hAnsi="Arial" w:cs="Arial"/>
          <w:color w:val="000000"/>
          <w:shd w:val="clear" w:color="auto" w:fill="FFFFFF"/>
        </w:rPr>
        <w:t>dubna</w:t>
      </w:r>
      <w:proofErr w:type="spellEnd"/>
      <w:r w:rsidRPr="008030AA">
        <w:rPr>
          <w:rFonts w:ascii="Arial" w:hAnsi="Arial" w:cs="Arial"/>
          <w:color w:val="000000"/>
          <w:shd w:val="clear" w:color="auto" w:fill="FFFFFF"/>
        </w:rPr>
        <w:t xml:space="preserve"> 2017, </w:t>
      </w:r>
      <w:proofErr w:type="spellStart"/>
      <w:r w:rsidRPr="008030AA">
        <w:rPr>
          <w:rFonts w:ascii="Arial" w:hAnsi="Arial" w:cs="Arial"/>
          <w:color w:val="000000"/>
          <w:shd w:val="clear" w:color="auto" w:fill="FFFFFF"/>
        </w:rPr>
        <w:t>který</w:t>
      </w:r>
      <w:proofErr w:type="spellEnd"/>
      <w:r w:rsidRPr="008030AA">
        <w:rPr>
          <w:rFonts w:ascii="Arial" w:hAnsi="Arial" w:cs="Arial"/>
          <w:color w:val="000000"/>
          <w:shd w:val="clear" w:color="auto" w:fill="FFFFFF"/>
        </w:rPr>
        <w:t xml:space="preserve"> se </w:t>
      </w:r>
      <w:proofErr w:type="spellStart"/>
      <w:r w:rsidRPr="008030AA">
        <w:rPr>
          <w:rFonts w:ascii="Arial" w:hAnsi="Arial" w:cs="Arial"/>
          <w:color w:val="000000"/>
          <w:shd w:val="clear" w:color="auto" w:fill="FFFFFF"/>
        </w:rPr>
        <w:t>zabýval</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otázkou</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vymezení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výnosů</w:t>
      </w:r>
      <w:proofErr w:type="spellEnd"/>
      <w:r w:rsidRPr="008030AA">
        <w:rPr>
          <w:rFonts w:ascii="Arial" w:hAnsi="Arial" w:cs="Arial"/>
          <w:color w:val="000000"/>
          <w:shd w:val="clear" w:color="auto" w:fill="FFFFFF"/>
        </w:rPr>
        <w:t xml:space="preserve"> z </w:t>
      </w:r>
      <w:proofErr w:type="spellStart"/>
      <w:r w:rsidRPr="008030AA">
        <w:rPr>
          <w:rFonts w:ascii="Arial" w:hAnsi="Arial" w:cs="Arial"/>
          <w:color w:val="000000"/>
          <w:shd w:val="clear" w:color="auto" w:fill="FFFFFF"/>
        </w:rPr>
        <w:t>poskytnutých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úvěrů</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dle</w:t>
      </w:r>
      <w:proofErr w:type="spellEnd"/>
      <w:r w:rsidRPr="008030AA">
        <w:rPr>
          <w:rFonts w:ascii="Arial" w:hAnsi="Arial" w:cs="Arial"/>
          <w:color w:val="000000"/>
          <w:shd w:val="clear" w:color="auto" w:fill="FFFFFF"/>
        </w:rPr>
        <w:t xml:space="preserve"> § 5a </w:t>
      </w:r>
      <w:proofErr w:type="spellStart"/>
      <w:r w:rsidRPr="008030AA">
        <w:rPr>
          <w:rFonts w:ascii="Arial" w:hAnsi="Arial" w:cs="Arial"/>
          <w:color w:val="000000"/>
          <w:shd w:val="clear" w:color="auto" w:fill="FFFFFF"/>
        </w:rPr>
        <w:t>odst</w:t>
      </w:r>
      <w:proofErr w:type="spellEnd"/>
      <w:r w:rsidRPr="008030AA">
        <w:rPr>
          <w:rFonts w:ascii="Arial" w:hAnsi="Arial" w:cs="Arial"/>
          <w:color w:val="000000"/>
          <w:shd w:val="clear" w:color="auto" w:fill="FFFFFF"/>
        </w:rPr>
        <w:t xml:space="preserve">. 2 </w:t>
      </w:r>
      <w:proofErr w:type="spellStart"/>
      <w:r w:rsidRPr="008030AA">
        <w:rPr>
          <w:rFonts w:ascii="Arial" w:hAnsi="Arial" w:cs="Arial"/>
          <w:color w:val="000000"/>
          <w:shd w:val="clear" w:color="auto" w:fill="FFFFFF"/>
        </w:rPr>
        <w:t>písm</w:t>
      </w:r>
      <w:proofErr w:type="spellEnd"/>
      <w:r w:rsidRPr="008030AA">
        <w:rPr>
          <w:rFonts w:ascii="Arial" w:hAnsi="Arial" w:cs="Arial"/>
          <w:color w:val="000000"/>
          <w:shd w:val="clear" w:color="auto" w:fill="FFFFFF"/>
        </w:rPr>
        <w:t xml:space="preserve">. b) </w:t>
      </w:r>
      <w:proofErr w:type="spellStart"/>
      <w:r w:rsidRPr="008030AA">
        <w:rPr>
          <w:rFonts w:ascii="Arial" w:hAnsi="Arial" w:cs="Arial"/>
          <w:color w:val="000000"/>
          <w:shd w:val="clear" w:color="auto" w:fill="FFFFFF"/>
        </w:rPr>
        <w:t>zákona</w:t>
      </w:r>
      <w:proofErr w:type="spellEnd"/>
      <w:r w:rsidRPr="008030AA">
        <w:rPr>
          <w:rFonts w:ascii="Arial" w:hAnsi="Arial" w:cs="Arial"/>
          <w:color w:val="000000"/>
          <w:shd w:val="clear" w:color="auto" w:fill="FFFFFF"/>
        </w:rPr>
        <w:t xml:space="preserve"> o </w:t>
      </w:r>
      <w:proofErr w:type="spellStart"/>
      <w:r w:rsidRPr="008030AA">
        <w:rPr>
          <w:rFonts w:ascii="Arial" w:hAnsi="Arial" w:cs="Arial"/>
          <w:color w:val="000000"/>
          <w:shd w:val="clear" w:color="auto" w:fill="FFFFFF"/>
        </w:rPr>
        <w:t>rezervách</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Generální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finanční</w:t>
      </w:r>
      <w:proofErr w:type="spellEnd"/>
      <w:r w:rsidRPr="008030AA">
        <w:rPr>
          <w:rFonts w:ascii="Arial" w:hAnsi="Arial" w:cs="Arial"/>
          <w:color w:val="000000"/>
          <w:shd w:val="clear" w:color="auto" w:fill="FFFFFF"/>
        </w:rPr>
        <w:t xml:space="preserve"> </w:t>
      </w:r>
      <w:proofErr w:type="spellStart"/>
      <w:r w:rsidRPr="008030AA">
        <w:rPr>
          <w:rFonts w:ascii="Arial" w:hAnsi="Arial" w:cs="Arial"/>
          <w:color w:val="000000"/>
          <w:shd w:val="clear" w:color="auto" w:fill="FFFFFF"/>
        </w:rPr>
        <w:t>ředitelství</w:t>
      </w:r>
      <w:proofErr w:type="spellEnd"/>
      <w:r w:rsidRPr="008030AA">
        <w:rPr>
          <w:rFonts w:ascii="Arial" w:hAnsi="Arial" w:cs="Arial"/>
          <w:color w:val="000000"/>
          <w:shd w:val="clear" w:color="auto" w:fill="FFFFFF"/>
        </w:rPr>
        <w:t xml:space="preserve"> ve </w:t>
      </w:r>
      <w:proofErr w:type="spellStart"/>
      <w:r w:rsidRPr="008030AA">
        <w:rPr>
          <w:rFonts w:ascii="Arial" w:hAnsi="Arial" w:cs="Arial"/>
          <w:color w:val="000000"/>
          <w:shd w:val="clear" w:color="auto" w:fill="FFFFFF"/>
        </w:rPr>
        <w:t>svém</w:t>
      </w:r>
      <w:proofErr w:type="spellEnd"/>
      <w:r w:rsidRPr="008030AA">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stanovisku</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tomuto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příspěvku</w:t>
      </w:r>
      <w:proofErr w:type="spellEnd"/>
      <w:r w:rsidRPr="00305E34">
        <w:rPr>
          <w:rFonts w:ascii="Arial" w:hAnsi="Arial" w:cs="Arial"/>
          <w:color w:val="000000"/>
          <w:shd w:val="clear" w:color="auto" w:fill="FFFFFF"/>
        </w:rPr>
        <w:t xml:space="preserve"> bez </w:t>
      </w:r>
      <w:proofErr w:type="spellStart"/>
      <w:r w:rsidRPr="00305E34">
        <w:rPr>
          <w:rFonts w:ascii="Arial" w:hAnsi="Arial" w:cs="Arial"/>
          <w:color w:val="000000"/>
          <w:shd w:val="clear" w:color="auto" w:fill="FFFFFF"/>
        </w:rPr>
        <w:t>výhrad</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potvrdilo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názor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předkladatelů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použití</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rozpuštění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natvořených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položek</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pohledávkám</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jsou</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souladu</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účetními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předpisy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účtovány</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prospěch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účtové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skupiny</w:t>
      </w:r>
      <w:proofErr w:type="spellEnd"/>
      <w:r w:rsidRPr="00305E34">
        <w:rPr>
          <w:rFonts w:ascii="Arial" w:hAnsi="Arial" w:cs="Arial"/>
          <w:color w:val="000000"/>
          <w:shd w:val="clear" w:color="auto" w:fill="FFFFFF"/>
        </w:rPr>
        <w:t xml:space="preserve"> 75, </w:t>
      </w:r>
      <w:proofErr w:type="spellStart"/>
      <w:r w:rsidRPr="00305E34">
        <w:rPr>
          <w:rFonts w:ascii="Arial" w:hAnsi="Arial" w:cs="Arial"/>
          <w:color w:val="000000"/>
          <w:shd w:val="clear" w:color="auto" w:fill="FFFFFF"/>
        </w:rPr>
        <w:t>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považovat</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
    <w:p w14:paraId="4C889049" w14:textId="77777777" w:rsidR="005E4E00" w:rsidRPr="00305E34" w:rsidRDefault="005E4E00" w:rsidP="005E4E00">
      <w:pPr>
        <w:jc w:val="both"/>
        <w:rPr>
          <w:rFonts w:ascii="Arial" w:hAnsi="Arial" w:cs="Arial"/>
          <w:color w:val="000000"/>
          <w:shd w:val="clear" w:color="auto" w:fill="FFFFFF"/>
        </w:rPr>
      </w:pPr>
    </w:p>
    <w:p w14:paraId="2E141FE8"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Předkladatelé</w:t>
      </w:r>
      <w:proofErr w:type="spellEnd"/>
      <w:r w:rsidRPr="00305E34">
        <w:rPr>
          <w:rFonts w:ascii="Arial" w:hAnsi="Arial" w:cs="Arial"/>
          <w:color w:val="000000"/>
          <w:shd w:val="clear" w:color="auto" w:fill="FFFFFF"/>
        </w:rPr>
        <w:t xml:space="preserve"> by se v </w:t>
      </w:r>
      <w:proofErr w:type="spellStart"/>
      <w:r w:rsidRPr="00305E34">
        <w:rPr>
          <w:rFonts w:ascii="Arial" w:hAnsi="Arial" w:cs="Arial"/>
          <w:color w:val="000000"/>
          <w:shd w:val="clear" w:color="auto" w:fill="FFFFFF"/>
        </w:rPr>
        <w:t>rámci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tohoto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příspěvku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chtěli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zabývat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otázkou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další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realizované</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bezprostřední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souvislosti</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poskytovanými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považovat</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smyslu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odst</w:t>
      </w:r>
      <w:proofErr w:type="spellEnd"/>
      <w:r w:rsidRPr="00305E34">
        <w:rPr>
          <w:rFonts w:ascii="Arial" w:hAnsi="Arial" w:cs="Arial"/>
          <w:color w:val="000000"/>
          <w:shd w:val="clear" w:color="auto" w:fill="FFFFFF"/>
        </w:rPr>
        <w:t xml:space="preserve">. 2 </w:t>
      </w:r>
      <w:proofErr w:type="spellStart"/>
      <w:r w:rsidRPr="00305E34">
        <w:rPr>
          <w:rFonts w:ascii="Arial" w:hAnsi="Arial" w:cs="Arial"/>
          <w:color w:val="000000"/>
          <w:shd w:val="clear" w:color="auto" w:fill="FFFFFF"/>
        </w:rPr>
        <w:t>písm</w:t>
      </w:r>
      <w:proofErr w:type="spellEnd"/>
      <w:r w:rsidRPr="00305E34">
        <w:rPr>
          <w:rFonts w:ascii="Arial" w:hAnsi="Arial" w:cs="Arial"/>
          <w:color w:val="000000"/>
          <w:shd w:val="clear" w:color="auto" w:fill="FFFFFF"/>
        </w:rPr>
        <w:t xml:space="preserve">. b)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praxi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evidují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kromě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úroků</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další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inherentně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souvisí</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poskytnutým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úvěrem</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úvěrové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bez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nerealizovaly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Příkladem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těchto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mohou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být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např</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Úvěrová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svým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klientům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zprostředkovává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Toto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konkrétní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situaci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může</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nemusí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být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podmínkou</w:t>
      </w:r>
      <w:proofErr w:type="spellEnd"/>
      <w:r w:rsidRPr="00305E34">
        <w:rPr>
          <w:rFonts w:ascii="Arial" w:hAnsi="Arial" w:cs="Arial"/>
          <w:color w:val="000000"/>
          <w:shd w:val="clear" w:color="auto" w:fill="FFFFFF"/>
        </w:rPr>
        <w:t xml:space="preserve"> pro </w:t>
      </w:r>
      <w:proofErr w:type="spellStart"/>
      <w:r w:rsidRPr="00305E34">
        <w:rPr>
          <w:rFonts w:ascii="Arial" w:hAnsi="Arial" w:cs="Arial"/>
          <w:color w:val="000000"/>
          <w:shd w:val="clear" w:color="auto" w:fill="FFFFFF"/>
        </w:rPr>
        <w:t>uzavření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smlouvy</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daných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podmínek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však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vždy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spojeno</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konkrétním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nedochází</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samostatnému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např</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tedy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vznikají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díky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provize</w:t>
      </w:r>
      <w:proofErr w:type="spellEnd"/>
      <w:r w:rsidRPr="00305E34">
        <w:rPr>
          <w:rFonts w:ascii="Arial" w:hAnsi="Arial" w:cs="Arial"/>
          <w:color w:val="000000"/>
          <w:shd w:val="clear" w:color="auto" w:fill="FFFFFF"/>
        </w:rPr>
        <w:t xml:space="preserve">). Tyto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úvěrová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nerealizovala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kdyby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nedošlo</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
    <w:p w14:paraId="5518C386" w14:textId="77777777" w:rsidR="005E4E00" w:rsidRPr="00305E34" w:rsidRDefault="005E4E00" w:rsidP="005E4E00">
      <w:pPr>
        <w:jc w:val="both"/>
        <w:rPr>
          <w:rFonts w:ascii="Arial" w:hAnsi="Arial" w:cs="Arial"/>
          <w:color w:val="000000"/>
          <w:shd w:val="clear" w:color="auto" w:fill="FFFFFF"/>
        </w:rPr>
      </w:pPr>
    </w:p>
    <w:p w14:paraId="3211C705"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Cílem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tohoto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příspěvku</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potvrdit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tyto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druhy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vzniknuvších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díky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považovat</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smyslu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odst</w:t>
      </w:r>
      <w:proofErr w:type="spellEnd"/>
      <w:r w:rsidRPr="00305E34">
        <w:rPr>
          <w:rFonts w:ascii="Arial" w:hAnsi="Arial" w:cs="Arial"/>
          <w:color w:val="000000"/>
          <w:shd w:val="clear" w:color="auto" w:fill="FFFFFF"/>
        </w:rPr>
        <w:t xml:space="preserve">. 2 </w:t>
      </w:r>
      <w:proofErr w:type="spellStart"/>
      <w:r w:rsidRPr="00305E34">
        <w:rPr>
          <w:rFonts w:ascii="Arial" w:hAnsi="Arial" w:cs="Arial"/>
          <w:color w:val="000000"/>
          <w:shd w:val="clear" w:color="auto" w:fill="FFFFFF"/>
        </w:rPr>
        <w:t>písm</w:t>
      </w:r>
      <w:proofErr w:type="spellEnd"/>
      <w:r w:rsidRPr="00305E34">
        <w:rPr>
          <w:rFonts w:ascii="Arial" w:hAnsi="Arial" w:cs="Arial"/>
          <w:color w:val="000000"/>
          <w:shd w:val="clear" w:color="auto" w:fill="FFFFFF"/>
        </w:rPr>
        <w:t xml:space="preserve">. b)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
    <w:p w14:paraId="6F0CCE66" w14:textId="77777777" w:rsidR="005E4E00" w:rsidRPr="00305E34" w:rsidRDefault="005E4E00" w:rsidP="005E4E00">
      <w:pPr>
        <w:jc w:val="both"/>
        <w:rPr>
          <w:rFonts w:ascii="Arial" w:hAnsi="Arial" w:cs="Arial"/>
          <w:color w:val="000000"/>
          <w:shd w:val="clear" w:color="auto" w:fill="FFFFFF"/>
        </w:rPr>
      </w:pPr>
    </w:p>
    <w:p w14:paraId="5957191D"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2 </w:t>
      </w:r>
      <w:proofErr w:type="spellStart"/>
      <w:r w:rsidRPr="00305E34">
        <w:rPr>
          <w:rFonts w:ascii="Arial" w:hAnsi="Arial" w:cs="Arial"/>
          <w:b/>
          <w:color w:val="000000"/>
          <w:shd w:val="clear" w:color="auto" w:fill="FFFFFF"/>
        </w:rPr>
        <w:t>Posouzení</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problematiky</w:t>
      </w:r>
      <w:proofErr w:type="spellEnd"/>
      <w:r w:rsidRPr="00305E34">
        <w:rPr>
          <w:rFonts w:ascii="Arial" w:hAnsi="Arial" w:cs="Arial"/>
          <w:b/>
          <w:color w:val="000000"/>
          <w:shd w:val="clear" w:color="auto" w:fill="FFFFFF"/>
        </w:rPr>
        <w:t xml:space="preserve"> </w:t>
      </w:r>
    </w:p>
    <w:p w14:paraId="7D6B4353"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2.1 </w:t>
      </w:r>
      <w:proofErr w:type="spellStart"/>
      <w:r w:rsidRPr="00305E34">
        <w:rPr>
          <w:rFonts w:ascii="Arial" w:hAnsi="Arial" w:cs="Arial"/>
          <w:b/>
          <w:color w:val="000000"/>
          <w:shd w:val="clear" w:color="auto" w:fill="FFFFFF"/>
        </w:rPr>
        <w:t>Zákonná</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úprava</w:t>
      </w:r>
      <w:proofErr w:type="spellEnd"/>
      <w:r w:rsidRPr="00305E34">
        <w:rPr>
          <w:rFonts w:ascii="Arial" w:hAnsi="Arial" w:cs="Arial"/>
          <w:b/>
          <w:color w:val="000000"/>
          <w:shd w:val="clear" w:color="auto" w:fill="FFFFFF"/>
        </w:rPr>
        <w:t xml:space="preserve"> </w:t>
      </w:r>
    </w:p>
    <w:p w14:paraId="1702C689" w14:textId="77777777" w:rsidR="005E4E00" w:rsidRPr="00305E34" w:rsidRDefault="005E4E00" w:rsidP="005E4E00">
      <w:pPr>
        <w:jc w:val="both"/>
        <w:rPr>
          <w:rFonts w:ascii="Arial" w:hAnsi="Arial" w:cs="Arial"/>
          <w:color w:val="000000"/>
          <w:shd w:val="clear" w:color="auto" w:fill="FFFFFF"/>
        </w:rPr>
      </w:pPr>
    </w:p>
    <w:p w14:paraId="60872127" w14:textId="77777777" w:rsidR="005E4E00" w:rsidRPr="00305E34" w:rsidRDefault="005E4E00" w:rsidP="005E4E00">
      <w:pPr>
        <w:jc w:val="both"/>
        <w:rPr>
          <w:rFonts w:ascii="Arial" w:hAnsi="Arial" w:cs="Arial"/>
          <w:color w:val="000000"/>
          <w:shd w:val="clear" w:color="auto" w:fill="FFFFFF"/>
        </w:rPr>
      </w:pPr>
      <w:r w:rsidRPr="00305E34">
        <w:rPr>
          <w:rFonts w:ascii="Arial" w:hAnsi="Arial" w:cs="Arial"/>
          <w:color w:val="000000"/>
          <w:shd w:val="clear" w:color="auto" w:fill="FFFFFF"/>
        </w:rPr>
        <w:lastRenderedPageBreak/>
        <w:t xml:space="preserve">Pro </w:t>
      </w:r>
      <w:proofErr w:type="spellStart"/>
      <w:r w:rsidRPr="00305E34">
        <w:rPr>
          <w:rFonts w:ascii="Arial" w:hAnsi="Arial" w:cs="Arial"/>
          <w:color w:val="000000"/>
          <w:shd w:val="clear" w:color="auto" w:fill="FFFFFF"/>
        </w:rPr>
        <w:t>posouzení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uvedené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problematiky</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klíčové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odst</w:t>
      </w:r>
      <w:proofErr w:type="spellEnd"/>
      <w:r w:rsidRPr="00305E34">
        <w:rPr>
          <w:rFonts w:ascii="Arial" w:hAnsi="Arial" w:cs="Arial"/>
          <w:color w:val="000000"/>
          <w:shd w:val="clear" w:color="auto" w:fill="FFFFFF"/>
        </w:rPr>
        <w:t xml:space="preserve">. 2 </w:t>
      </w:r>
      <w:proofErr w:type="spellStart"/>
      <w:r w:rsidRPr="00305E34">
        <w:rPr>
          <w:rFonts w:ascii="Arial" w:hAnsi="Arial" w:cs="Arial"/>
          <w:color w:val="000000"/>
          <w:shd w:val="clear" w:color="auto" w:fill="FFFFFF"/>
        </w:rPr>
        <w:t>písm</w:t>
      </w:r>
      <w:proofErr w:type="spellEnd"/>
      <w:r w:rsidRPr="00305E34">
        <w:rPr>
          <w:rFonts w:ascii="Arial" w:hAnsi="Arial" w:cs="Arial"/>
          <w:color w:val="000000"/>
          <w:shd w:val="clear" w:color="auto" w:fill="FFFFFF"/>
        </w:rPr>
        <w:t xml:space="preserve">. b)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upravuje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tzv</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jeden</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definičních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znaků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ostatní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finanční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která</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oprávněna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tvořit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daňově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uznatelné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položky</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pohledávkám</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
    <w:p w14:paraId="3B0FB587" w14:textId="77777777" w:rsidR="005E4E00" w:rsidRPr="00305E34" w:rsidRDefault="005E4E00" w:rsidP="005E4E00">
      <w:pPr>
        <w:jc w:val="both"/>
        <w:rPr>
          <w:rFonts w:ascii="Arial" w:hAnsi="Arial" w:cs="Arial"/>
          <w:i/>
          <w:color w:val="000000"/>
          <w:shd w:val="clear" w:color="auto" w:fill="FFFFFF"/>
        </w:rPr>
      </w:pPr>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výnosy</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včetně</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úroků</w:t>
      </w:r>
      <w:proofErr w:type="spellEnd"/>
      <w:r w:rsidRPr="00305E34">
        <w:rPr>
          <w:rFonts w:ascii="Arial" w:hAnsi="Arial" w:cs="Arial"/>
          <w:i/>
          <w:color w:val="000000"/>
          <w:shd w:val="clear" w:color="auto" w:fill="FFFFFF"/>
        </w:rPr>
        <w:t xml:space="preserve"> z </w:t>
      </w:r>
      <w:proofErr w:type="spellStart"/>
      <w:r w:rsidRPr="00305E34">
        <w:rPr>
          <w:rFonts w:ascii="Arial" w:hAnsi="Arial" w:cs="Arial"/>
          <w:i/>
          <w:color w:val="000000"/>
          <w:shd w:val="clear" w:color="auto" w:fill="FFFFFF"/>
        </w:rPr>
        <w:t>prodlení</w:t>
      </w:r>
      <w:proofErr w:type="spellEnd"/>
      <w:r w:rsidRPr="00305E34">
        <w:rPr>
          <w:rFonts w:ascii="Arial" w:hAnsi="Arial" w:cs="Arial"/>
          <w:i/>
          <w:color w:val="000000"/>
          <w:shd w:val="clear" w:color="auto" w:fill="FFFFFF"/>
        </w:rPr>
        <w:t xml:space="preserve">, z </w:t>
      </w:r>
      <w:proofErr w:type="spellStart"/>
      <w:r w:rsidRPr="00305E34">
        <w:rPr>
          <w:rFonts w:ascii="Arial" w:hAnsi="Arial" w:cs="Arial"/>
          <w:i/>
          <w:color w:val="000000"/>
          <w:shd w:val="clear" w:color="auto" w:fill="FFFFFF"/>
        </w:rPr>
        <w:t>poskytnutých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úvěrů</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podle</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odstavce</w:t>
      </w:r>
      <w:proofErr w:type="spellEnd"/>
      <w:r w:rsidRPr="00305E34">
        <w:rPr>
          <w:rFonts w:ascii="Arial" w:hAnsi="Arial" w:cs="Arial"/>
          <w:i/>
          <w:color w:val="000000"/>
          <w:shd w:val="clear" w:color="auto" w:fill="FFFFFF"/>
        </w:rPr>
        <w:t xml:space="preserve"> 1 u </w:t>
      </w:r>
      <w:proofErr w:type="spellStart"/>
      <w:r w:rsidRPr="00305E34">
        <w:rPr>
          <w:rFonts w:ascii="Arial" w:hAnsi="Arial" w:cs="Arial"/>
          <w:i/>
          <w:color w:val="000000"/>
          <w:shd w:val="clear" w:color="auto" w:fill="FFFFFF"/>
        </w:rPr>
        <w:t>nich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dosáhnou</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alespoň</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jedné</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poloviny</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celkových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výnosů</w:t>
      </w:r>
      <w:proofErr w:type="spellEnd"/>
      <w:r w:rsidRPr="00305E34">
        <w:rPr>
          <w:rFonts w:ascii="Arial" w:hAnsi="Arial" w:cs="Arial"/>
          <w:i/>
          <w:color w:val="000000"/>
          <w:shd w:val="clear" w:color="auto" w:fill="FFFFFF"/>
        </w:rPr>
        <w:t xml:space="preserve"> v </w:t>
      </w:r>
      <w:proofErr w:type="spellStart"/>
      <w:r w:rsidRPr="00305E34">
        <w:rPr>
          <w:rFonts w:ascii="Arial" w:hAnsi="Arial" w:cs="Arial"/>
          <w:i/>
          <w:color w:val="000000"/>
          <w:shd w:val="clear" w:color="auto" w:fill="FFFFFF"/>
        </w:rPr>
        <w:t>příslušném</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zdaňovacím</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období</w:t>
      </w:r>
      <w:proofErr w:type="spellEnd"/>
      <w:r w:rsidRPr="00305E34">
        <w:rPr>
          <w:rFonts w:ascii="Arial" w:hAnsi="Arial" w:cs="Arial"/>
          <w:i/>
          <w:color w:val="000000"/>
          <w:shd w:val="clear" w:color="auto" w:fill="FFFFFF"/>
        </w:rPr>
        <w:t xml:space="preserve">.  </w:t>
      </w:r>
    </w:p>
    <w:p w14:paraId="64B3C625" w14:textId="77777777" w:rsidR="005E4E00" w:rsidRPr="00305E34" w:rsidRDefault="005E4E00" w:rsidP="005E4E00">
      <w:pPr>
        <w:jc w:val="both"/>
        <w:rPr>
          <w:rFonts w:ascii="Arial" w:hAnsi="Arial" w:cs="Arial"/>
          <w:color w:val="000000"/>
          <w:shd w:val="clear" w:color="auto" w:fill="FFFFFF"/>
        </w:rPr>
      </w:pPr>
    </w:p>
    <w:p w14:paraId="5FC56BEE"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Zákon</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dané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problematice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dále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stanoví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písmene</w:t>
      </w:r>
      <w:proofErr w:type="spellEnd"/>
      <w:r w:rsidRPr="00305E34">
        <w:rPr>
          <w:rFonts w:ascii="Arial" w:hAnsi="Arial" w:cs="Arial"/>
          <w:color w:val="000000"/>
          <w:shd w:val="clear" w:color="auto" w:fill="FFFFFF"/>
        </w:rPr>
        <w:t xml:space="preserve"> b) se </w:t>
      </w:r>
      <w:proofErr w:type="spellStart"/>
      <w:r w:rsidRPr="00305E34">
        <w:rPr>
          <w:rFonts w:ascii="Arial" w:hAnsi="Arial" w:cs="Arial"/>
          <w:color w:val="000000"/>
          <w:shd w:val="clear" w:color="auto" w:fill="FFFFFF"/>
        </w:rPr>
        <w:t>rozumí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zaúčtované</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souladu</w:t>
      </w:r>
      <w:proofErr w:type="spellEnd"/>
      <w:r w:rsidRPr="00305E34">
        <w:rPr>
          <w:rFonts w:ascii="Arial" w:hAnsi="Arial" w:cs="Arial"/>
          <w:color w:val="000000"/>
          <w:shd w:val="clear" w:color="auto" w:fill="FFFFFF"/>
        </w:rPr>
        <w:t xml:space="preserve"> se </w:t>
      </w:r>
      <w:proofErr w:type="spellStart"/>
      <w:r w:rsidRPr="00305E34">
        <w:rPr>
          <w:rFonts w:ascii="Arial" w:hAnsi="Arial" w:cs="Arial"/>
          <w:color w:val="000000"/>
          <w:shd w:val="clear" w:color="auto" w:fill="FFFFFF"/>
        </w:rPr>
        <w:t>zvláštním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předpisem</w:t>
      </w:r>
      <w:proofErr w:type="spellEnd"/>
      <w:proofErr w:type="gramStart"/>
      <w:r w:rsidRPr="00305E34">
        <w:rPr>
          <w:rFonts w:ascii="Arial" w:hAnsi="Arial" w:cs="Arial"/>
          <w:color w:val="000000"/>
          <w:shd w:val="clear" w:color="auto" w:fill="FFFFFF"/>
        </w:rPr>
        <w:t>.“</w:t>
      </w:r>
      <w:proofErr w:type="gram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Tímto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zvláštním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předpisem</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zákon</w:t>
      </w:r>
      <w:proofErr w:type="spellEnd"/>
      <w:r w:rsidRPr="00305E34">
        <w:rPr>
          <w:rFonts w:ascii="Arial" w:hAnsi="Arial" w:cs="Arial"/>
          <w:color w:val="000000"/>
          <w:shd w:val="clear" w:color="auto" w:fill="FFFFFF"/>
        </w:rPr>
        <w:t xml:space="preserve"> č. 563/1991 Sb., o </w:t>
      </w:r>
      <w:proofErr w:type="spellStart"/>
      <w:r w:rsidRPr="00305E34">
        <w:rPr>
          <w:rFonts w:ascii="Arial" w:hAnsi="Arial" w:cs="Arial"/>
          <w:color w:val="000000"/>
          <w:shd w:val="clear" w:color="auto" w:fill="FFFFFF"/>
        </w:rPr>
        <w:t>účetnictví</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znění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pozdějších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předpisů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dále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jen</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w:t>
      </w:r>
      <w:proofErr w:type="spellEnd"/>
      <w:r w:rsidRPr="00305E34">
        <w:rPr>
          <w:rFonts w:ascii="Arial" w:hAnsi="Arial" w:cs="Arial"/>
          <w:color w:val="000000"/>
          <w:shd w:val="clear" w:color="auto" w:fill="FFFFFF"/>
        </w:rPr>
        <w:t xml:space="preserve"> o </w:t>
      </w:r>
      <w:proofErr w:type="spellStart"/>
      <w:proofErr w:type="gramStart"/>
      <w:r w:rsidRPr="00305E34">
        <w:rPr>
          <w:rFonts w:ascii="Arial" w:hAnsi="Arial" w:cs="Arial"/>
          <w:color w:val="000000"/>
          <w:shd w:val="clear" w:color="auto" w:fill="FFFFFF"/>
        </w:rPr>
        <w:t>účetnictví</w:t>
      </w:r>
      <w:proofErr w:type="spellEnd"/>
      <w:r w:rsidRPr="00305E34">
        <w:rPr>
          <w:rFonts w:ascii="Arial" w:hAnsi="Arial" w:cs="Arial"/>
          <w:color w:val="000000"/>
          <w:shd w:val="clear" w:color="auto" w:fill="FFFFFF"/>
        </w:rPr>
        <w:t>“</w:t>
      </w:r>
      <w:proofErr w:type="gram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ani </w:t>
      </w:r>
      <w:proofErr w:type="spellStart"/>
      <w:r w:rsidRPr="00305E34">
        <w:rPr>
          <w:rFonts w:ascii="Arial" w:hAnsi="Arial" w:cs="Arial"/>
          <w:color w:val="000000"/>
          <w:shd w:val="clear" w:color="auto" w:fill="FFFFFF"/>
        </w:rPr>
        <w:t>zákon</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účetnictví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však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nijak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blíže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nedefinují</w:t>
      </w:r>
      <w:proofErr w:type="spellEnd"/>
      <w:r w:rsidRPr="00305E34">
        <w:rPr>
          <w:rFonts w:ascii="Arial" w:hAnsi="Arial" w:cs="Arial"/>
          <w:color w:val="000000"/>
          <w:shd w:val="clear" w:color="auto" w:fill="FFFFFF"/>
        </w:rPr>
        <w:t xml:space="preserve">. </w:t>
      </w:r>
    </w:p>
    <w:p w14:paraId="33CA7848" w14:textId="77777777" w:rsidR="005E4E00" w:rsidRPr="00305E34" w:rsidRDefault="005E4E00" w:rsidP="005E4E00">
      <w:pPr>
        <w:jc w:val="both"/>
        <w:rPr>
          <w:rFonts w:ascii="Arial" w:hAnsi="Arial" w:cs="Arial"/>
          <w:color w:val="000000"/>
          <w:shd w:val="clear" w:color="auto" w:fill="FFFFFF"/>
        </w:rPr>
      </w:pPr>
    </w:p>
    <w:p w14:paraId="79752E6E"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Jelikož</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zákonná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úprava</w:t>
      </w:r>
      <w:proofErr w:type="spellEnd"/>
      <w:r w:rsidRPr="00305E34">
        <w:rPr>
          <w:rFonts w:ascii="Arial" w:hAnsi="Arial" w:cs="Arial"/>
          <w:color w:val="000000"/>
          <w:shd w:val="clear" w:color="auto" w:fill="FFFFFF"/>
        </w:rPr>
        <w:t xml:space="preserve">, ani </w:t>
      </w:r>
      <w:proofErr w:type="spellStart"/>
      <w:r w:rsidRPr="00305E34">
        <w:rPr>
          <w:rFonts w:ascii="Arial" w:hAnsi="Arial" w:cs="Arial"/>
          <w:color w:val="000000"/>
          <w:shd w:val="clear" w:color="auto" w:fill="FFFFFF"/>
        </w:rPr>
        <w:t>její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gramatický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výklad</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nenabízí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jednoznačnou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odpověď</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diskutovanou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otázku</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potřeba</w:t>
      </w:r>
      <w:proofErr w:type="spellEnd"/>
      <w:r w:rsidRPr="00305E34">
        <w:rPr>
          <w:rFonts w:ascii="Arial" w:hAnsi="Arial" w:cs="Arial"/>
          <w:color w:val="000000"/>
          <w:shd w:val="clear" w:color="auto" w:fill="FFFFFF"/>
        </w:rPr>
        <w:t xml:space="preserve"> se </w:t>
      </w:r>
      <w:proofErr w:type="spellStart"/>
      <w:r w:rsidRPr="00305E34">
        <w:rPr>
          <w:rFonts w:ascii="Arial" w:hAnsi="Arial" w:cs="Arial"/>
          <w:color w:val="000000"/>
          <w:shd w:val="clear" w:color="auto" w:fill="FFFFFF"/>
        </w:rPr>
        <w:t>zaměřit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další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výkladové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metody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Předně</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třeba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zkoumat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vývoj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této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úpravy</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čase</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následně</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smysl</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účel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úpravy</w:t>
      </w:r>
      <w:proofErr w:type="spellEnd"/>
      <w:r w:rsidRPr="00305E34">
        <w:rPr>
          <w:rFonts w:ascii="Arial" w:hAnsi="Arial" w:cs="Arial"/>
          <w:color w:val="000000"/>
          <w:shd w:val="clear" w:color="auto" w:fill="FFFFFF"/>
        </w:rPr>
        <w:t xml:space="preserve">, resp. </w:t>
      </w:r>
      <w:proofErr w:type="spellStart"/>
      <w:r w:rsidRPr="00305E34">
        <w:rPr>
          <w:rFonts w:ascii="Arial" w:hAnsi="Arial" w:cs="Arial"/>
          <w:color w:val="000000"/>
          <w:shd w:val="clear" w:color="auto" w:fill="FFFFFF"/>
        </w:rPr>
        <w:t>zjevný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úmysl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zákonodárce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stojící</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předmětnou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úpravou</w:t>
      </w:r>
      <w:proofErr w:type="spellEnd"/>
      <w:r w:rsidRPr="00305E34">
        <w:rPr>
          <w:rFonts w:ascii="Arial" w:hAnsi="Arial" w:cs="Arial"/>
          <w:color w:val="000000"/>
          <w:shd w:val="clear" w:color="auto" w:fill="FFFFFF"/>
        </w:rPr>
        <w:t xml:space="preserve">. </w:t>
      </w:r>
    </w:p>
    <w:p w14:paraId="1F832EB8" w14:textId="77777777" w:rsidR="005E4E00" w:rsidRPr="00305E34" w:rsidRDefault="005E4E00" w:rsidP="005E4E00">
      <w:pPr>
        <w:jc w:val="both"/>
        <w:rPr>
          <w:rFonts w:ascii="Arial" w:hAnsi="Arial" w:cs="Arial"/>
          <w:color w:val="000000"/>
          <w:shd w:val="clear" w:color="auto" w:fill="FFFFFF"/>
        </w:rPr>
      </w:pPr>
    </w:p>
    <w:p w14:paraId="06A40CF5"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2.2 </w:t>
      </w:r>
      <w:proofErr w:type="spellStart"/>
      <w:r w:rsidRPr="00305E34">
        <w:rPr>
          <w:rFonts w:ascii="Arial" w:hAnsi="Arial" w:cs="Arial"/>
          <w:b/>
          <w:color w:val="000000"/>
          <w:shd w:val="clear" w:color="auto" w:fill="FFFFFF"/>
        </w:rPr>
        <w:t>Historický</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výklad</w:t>
      </w:r>
      <w:proofErr w:type="spellEnd"/>
      <w:r w:rsidRPr="00305E34">
        <w:rPr>
          <w:rFonts w:ascii="Arial" w:hAnsi="Arial" w:cs="Arial"/>
          <w:b/>
          <w:color w:val="000000"/>
          <w:shd w:val="clear" w:color="auto" w:fill="FFFFFF"/>
        </w:rPr>
        <w:t xml:space="preserve">  </w:t>
      </w:r>
    </w:p>
    <w:p w14:paraId="5E91CAC0" w14:textId="77777777" w:rsidR="005E4E00" w:rsidRPr="00305E34" w:rsidRDefault="005E4E00" w:rsidP="005E4E00">
      <w:pPr>
        <w:jc w:val="both"/>
        <w:rPr>
          <w:rFonts w:ascii="Arial" w:hAnsi="Arial" w:cs="Arial"/>
          <w:color w:val="000000"/>
          <w:shd w:val="clear" w:color="auto" w:fill="FFFFFF"/>
        </w:rPr>
      </w:pPr>
    </w:p>
    <w:p w14:paraId="1A1C06FD"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bylo</w:t>
      </w:r>
      <w:proofErr w:type="spellEnd"/>
      <w:r w:rsidRPr="00305E34">
        <w:rPr>
          <w:rFonts w:ascii="Arial" w:hAnsi="Arial" w:cs="Arial"/>
          <w:color w:val="000000"/>
          <w:shd w:val="clear" w:color="auto" w:fill="FFFFFF"/>
        </w:rPr>
        <w:t xml:space="preserve"> do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včleněno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novelizujícím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zákonem</w:t>
      </w:r>
      <w:proofErr w:type="spellEnd"/>
      <w:r w:rsidRPr="00305E34">
        <w:rPr>
          <w:rFonts w:ascii="Arial" w:hAnsi="Arial" w:cs="Arial"/>
          <w:color w:val="000000"/>
          <w:shd w:val="clear" w:color="auto" w:fill="FFFFFF"/>
        </w:rPr>
        <w:t xml:space="preserve"> č. 438/2003 Sb., a to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základě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pozměňovacího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návrhu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rozpočtového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výboru</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tomuto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proto </w:t>
      </w:r>
      <w:proofErr w:type="spellStart"/>
      <w:r w:rsidRPr="00305E34">
        <w:rPr>
          <w:rFonts w:ascii="Arial" w:hAnsi="Arial" w:cs="Arial"/>
          <w:color w:val="000000"/>
          <w:shd w:val="clear" w:color="auto" w:fill="FFFFFF"/>
        </w:rPr>
        <w:t>neexistuje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důvodová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zpráva</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bylo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možné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jednoznačně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dovodit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úmysl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zákonodárce</w:t>
      </w:r>
      <w:proofErr w:type="spellEnd"/>
      <w:r w:rsidRPr="00305E34">
        <w:rPr>
          <w:rFonts w:ascii="Arial" w:hAnsi="Arial" w:cs="Arial"/>
          <w:color w:val="000000"/>
          <w:shd w:val="clear" w:color="auto" w:fill="FFFFFF"/>
        </w:rPr>
        <w:t>.</w:t>
      </w:r>
    </w:p>
    <w:p w14:paraId="4044C637" w14:textId="77777777" w:rsidR="005E4E00" w:rsidRPr="00305E34" w:rsidRDefault="005E4E00" w:rsidP="005E4E00">
      <w:pPr>
        <w:jc w:val="both"/>
        <w:rPr>
          <w:rFonts w:ascii="Arial" w:hAnsi="Arial" w:cs="Arial"/>
          <w:color w:val="000000"/>
          <w:shd w:val="clear" w:color="auto" w:fill="FFFFFF"/>
        </w:rPr>
      </w:pPr>
    </w:p>
    <w:p w14:paraId="29750F90"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Aktuálního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znění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doznalo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odst</w:t>
      </w:r>
      <w:proofErr w:type="spellEnd"/>
      <w:r w:rsidRPr="00305E34">
        <w:rPr>
          <w:rFonts w:ascii="Arial" w:hAnsi="Arial" w:cs="Arial"/>
          <w:color w:val="000000"/>
          <w:shd w:val="clear" w:color="auto" w:fill="FFFFFF"/>
        </w:rPr>
        <w:t xml:space="preserve">. 2 </w:t>
      </w:r>
      <w:proofErr w:type="spellStart"/>
      <w:r w:rsidRPr="00305E34">
        <w:rPr>
          <w:rFonts w:ascii="Arial" w:hAnsi="Arial" w:cs="Arial"/>
          <w:color w:val="000000"/>
          <w:shd w:val="clear" w:color="auto" w:fill="FFFFFF"/>
        </w:rPr>
        <w:t>písm</w:t>
      </w:r>
      <w:proofErr w:type="spellEnd"/>
      <w:r w:rsidRPr="00305E34">
        <w:rPr>
          <w:rFonts w:ascii="Arial" w:hAnsi="Arial" w:cs="Arial"/>
          <w:color w:val="000000"/>
          <w:shd w:val="clear" w:color="auto" w:fill="FFFFFF"/>
        </w:rPr>
        <w:t xml:space="preserve">. b)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až</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novelou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provedenou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zákonem</w:t>
      </w:r>
      <w:proofErr w:type="spellEnd"/>
      <w:r w:rsidRPr="00305E34">
        <w:rPr>
          <w:rFonts w:ascii="Arial" w:hAnsi="Arial" w:cs="Arial"/>
          <w:color w:val="000000"/>
          <w:shd w:val="clear" w:color="auto" w:fill="FFFFFF"/>
        </w:rPr>
        <w:t xml:space="preserve"> 669/2004 Sb. (</w:t>
      </w:r>
      <w:proofErr w:type="spellStart"/>
      <w:r w:rsidRPr="00305E34">
        <w:rPr>
          <w:rFonts w:ascii="Arial" w:hAnsi="Arial" w:cs="Arial"/>
          <w:color w:val="000000"/>
          <w:shd w:val="clear" w:color="auto" w:fill="FFFFFF"/>
        </w:rPr>
        <w:t>dále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jen</w:t>
      </w:r>
      <w:proofErr w:type="spellEnd"/>
      <w:r w:rsidRPr="00305E34">
        <w:rPr>
          <w:rFonts w:ascii="Arial" w:hAnsi="Arial" w:cs="Arial"/>
          <w:color w:val="000000"/>
          <w:shd w:val="clear" w:color="auto" w:fill="FFFFFF"/>
        </w:rPr>
        <w:t xml:space="preserve"> „</w:t>
      </w:r>
      <w:proofErr w:type="spellStart"/>
      <w:proofErr w:type="gramStart"/>
      <w:r w:rsidRPr="00305E34">
        <w:rPr>
          <w:rFonts w:ascii="Arial" w:hAnsi="Arial" w:cs="Arial"/>
          <w:color w:val="000000"/>
          <w:shd w:val="clear" w:color="auto" w:fill="FFFFFF"/>
        </w:rPr>
        <w:t>Novela</w:t>
      </w:r>
      <w:proofErr w:type="spellEnd"/>
      <w:r w:rsidRPr="00305E34">
        <w:rPr>
          <w:rFonts w:ascii="Arial" w:hAnsi="Arial" w:cs="Arial"/>
          <w:color w:val="000000"/>
          <w:shd w:val="clear" w:color="auto" w:fill="FFFFFF"/>
        </w:rPr>
        <w:t>“</w:t>
      </w:r>
      <w:proofErr w:type="gram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původním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znění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byla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podmínka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formulována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následovně</w:t>
      </w:r>
      <w:proofErr w:type="spellEnd"/>
      <w:r w:rsidRPr="00305E34">
        <w:rPr>
          <w:rFonts w:ascii="Arial" w:hAnsi="Arial" w:cs="Arial"/>
          <w:color w:val="000000"/>
          <w:shd w:val="clear" w:color="auto" w:fill="FFFFFF"/>
        </w:rPr>
        <w:t xml:space="preserve">:  </w:t>
      </w:r>
    </w:p>
    <w:p w14:paraId="0AE2CA27" w14:textId="77777777" w:rsidR="005E4E00" w:rsidRPr="00305E34" w:rsidRDefault="005E4E00" w:rsidP="005E4E00">
      <w:pPr>
        <w:jc w:val="both"/>
        <w:rPr>
          <w:rFonts w:ascii="Arial" w:hAnsi="Arial" w:cs="Arial"/>
          <w:color w:val="000000"/>
          <w:shd w:val="clear" w:color="auto" w:fill="FFFFFF"/>
        </w:rPr>
      </w:pPr>
    </w:p>
    <w:p w14:paraId="3971EE8B" w14:textId="77777777" w:rsidR="005E4E00" w:rsidRPr="00305E34" w:rsidRDefault="005E4E00" w:rsidP="005E4E00">
      <w:pPr>
        <w:jc w:val="both"/>
        <w:rPr>
          <w:rFonts w:ascii="Arial" w:hAnsi="Arial" w:cs="Arial"/>
          <w:i/>
          <w:color w:val="000000"/>
          <w:shd w:val="clear" w:color="auto" w:fill="FFFFFF"/>
        </w:rPr>
      </w:pPr>
      <w:r w:rsidRPr="00305E34">
        <w:rPr>
          <w:rFonts w:ascii="Arial" w:hAnsi="Arial" w:cs="Arial"/>
          <w:i/>
          <w:color w:val="000000"/>
          <w:shd w:val="clear" w:color="auto" w:fill="FFFFFF"/>
        </w:rPr>
        <w:t>„</w:t>
      </w:r>
      <w:proofErr w:type="spellStart"/>
      <w:r w:rsidRPr="00305E34">
        <w:rPr>
          <w:rFonts w:ascii="Arial" w:hAnsi="Arial" w:cs="Arial"/>
          <w:i/>
          <w:color w:val="000000"/>
          <w:shd w:val="clear" w:color="auto" w:fill="FFFFFF"/>
        </w:rPr>
        <w:t>úrokové</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výnosy</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včetně</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úroků</w:t>
      </w:r>
      <w:proofErr w:type="spellEnd"/>
      <w:r w:rsidRPr="00305E34">
        <w:rPr>
          <w:rFonts w:ascii="Arial" w:hAnsi="Arial" w:cs="Arial"/>
          <w:i/>
          <w:color w:val="000000"/>
          <w:shd w:val="clear" w:color="auto" w:fill="FFFFFF"/>
        </w:rPr>
        <w:t xml:space="preserve"> z </w:t>
      </w:r>
      <w:proofErr w:type="spellStart"/>
      <w:r w:rsidRPr="00305E34">
        <w:rPr>
          <w:rFonts w:ascii="Arial" w:hAnsi="Arial" w:cs="Arial"/>
          <w:i/>
          <w:color w:val="000000"/>
          <w:shd w:val="clear" w:color="auto" w:fill="FFFFFF"/>
        </w:rPr>
        <w:t>prodlení</w:t>
      </w:r>
      <w:proofErr w:type="spellEnd"/>
      <w:r w:rsidRPr="00305E34">
        <w:rPr>
          <w:rFonts w:ascii="Arial" w:hAnsi="Arial" w:cs="Arial"/>
          <w:i/>
          <w:color w:val="000000"/>
          <w:shd w:val="clear" w:color="auto" w:fill="FFFFFF"/>
        </w:rPr>
        <w:t xml:space="preserve">, z </w:t>
      </w:r>
      <w:proofErr w:type="spellStart"/>
      <w:r w:rsidRPr="00305E34">
        <w:rPr>
          <w:rFonts w:ascii="Arial" w:hAnsi="Arial" w:cs="Arial"/>
          <w:i/>
          <w:color w:val="000000"/>
          <w:shd w:val="clear" w:color="auto" w:fill="FFFFFF"/>
        </w:rPr>
        <w:t>poskytnutých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úvěrů</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podle</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odstavce</w:t>
      </w:r>
      <w:proofErr w:type="spellEnd"/>
      <w:r w:rsidRPr="00305E34">
        <w:rPr>
          <w:rFonts w:ascii="Arial" w:hAnsi="Arial" w:cs="Arial"/>
          <w:i/>
          <w:color w:val="000000"/>
          <w:shd w:val="clear" w:color="auto" w:fill="FFFFFF"/>
        </w:rPr>
        <w:t xml:space="preserve"> 1 u </w:t>
      </w:r>
      <w:proofErr w:type="spellStart"/>
      <w:r w:rsidRPr="00305E34">
        <w:rPr>
          <w:rFonts w:ascii="Arial" w:hAnsi="Arial" w:cs="Arial"/>
          <w:i/>
          <w:color w:val="000000"/>
          <w:shd w:val="clear" w:color="auto" w:fill="FFFFFF"/>
        </w:rPr>
        <w:t>nich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dosáhnou</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alespoň</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jedné</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poloviny</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celkových</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výnosů</w:t>
      </w:r>
      <w:proofErr w:type="spellEnd"/>
      <w:r w:rsidRPr="00305E34">
        <w:rPr>
          <w:rFonts w:ascii="Arial" w:hAnsi="Arial" w:cs="Arial"/>
          <w:i/>
          <w:color w:val="000000"/>
          <w:shd w:val="clear" w:color="auto" w:fill="FFFFFF"/>
        </w:rPr>
        <w:t xml:space="preserve"> v </w:t>
      </w:r>
      <w:proofErr w:type="spellStart"/>
      <w:r w:rsidRPr="00305E34">
        <w:rPr>
          <w:rFonts w:ascii="Arial" w:hAnsi="Arial" w:cs="Arial"/>
          <w:i/>
          <w:color w:val="000000"/>
          <w:shd w:val="clear" w:color="auto" w:fill="FFFFFF"/>
        </w:rPr>
        <w:t>příslušném</w:t>
      </w:r>
      <w:proofErr w:type="spellEnd"/>
      <w:r w:rsidRPr="00305E34">
        <w:rPr>
          <w:rFonts w:ascii="Arial" w:hAnsi="Arial" w:cs="Arial"/>
          <w:i/>
          <w:color w:val="000000"/>
          <w:shd w:val="clear" w:color="auto" w:fill="FFFFFF"/>
        </w:rPr>
        <w:t xml:space="preserve"> </w:t>
      </w:r>
      <w:proofErr w:type="spellStart"/>
      <w:r w:rsidRPr="00305E34">
        <w:rPr>
          <w:rFonts w:ascii="Arial" w:hAnsi="Arial" w:cs="Arial"/>
          <w:i/>
          <w:color w:val="000000"/>
          <w:shd w:val="clear" w:color="auto" w:fill="FFFFFF"/>
        </w:rPr>
        <w:t>zdaňovacím</w:t>
      </w:r>
      <w:proofErr w:type="spellEnd"/>
      <w:r w:rsidRPr="00305E34">
        <w:rPr>
          <w:rFonts w:ascii="Arial" w:hAnsi="Arial" w:cs="Arial"/>
          <w:i/>
          <w:color w:val="000000"/>
          <w:shd w:val="clear" w:color="auto" w:fill="FFFFFF"/>
        </w:rPr>
        <w:t xml:space="preserve"> </w:t>
      </w:r>
      <w:proofErr w:type="spellStart"/>
      <w:proofErr w:type="gramStart"/>
      <w:r w:rsidRPr="00305E34">
        <w:rPr>
          <w:rFonts w:ascii="Arial" w:hAnsi="Arial" w:cs="Arial"/>
          <w:i/>
          <w:color w:val="000000"/>
          <w:shd w:val="clear" w:color="auto" w:fill="FFFFFF"/>
        </w:rPr>
        <w:t>období</w:t>
      </w:r>
      <w:proofErr w:type="spellEnd"/>
      <w:r w:rsidRPr="00305E34">
        <w:rPr>
          <w:rFonts w:ascii="Arial" w:hAnsi="Arial" w:cs="Arial"/>
          <w:i/>
          <w:color w:val="000000"/>
          <w:shd w:val="clear" w:color="auto" w:fill="FFFFFF"/>
        </w:rPr>
        <w:t>“</w:t>
      </w:r>
      <w:proofErr w:type="gramEnd"/>
      <w:r w:rsidRPr="00305E34">
        <w:rPr>
          <w:rFonts w:ascii="Arial" w:hAnsi="Arial" w:cs="Arial"/>
          <w:i/>
          <w:color w:val="000000"/>
          <w:shd w:val="clear" w:color="auto" w:fill="FFFFFF"/>
        </w:rPr>
        <w:t xml:space="preserve">.  </w:t>
      </w:r>
    </w:p>
    <w:p w14:paraId="62D9230F" w14:textId="77777777" w:rsidR="005E4E00" w:rsidRPr="00305E34" w:rsidRDefault="005E4E00" w:rsidP="005E4E00">
      <w:pPr>
        <w:jc w:val="both"/>
        <w:rPr>
          <w:rFonts w:ascii="Arial" w:hAnsi="Arial" w:cs="Arial"/>
          <w:color w:val="000000"/>
          <w:shd w:val="clear" w:color="auto" w:fill="FFFFFF"/>
        </w:rPr>
      </w:pPr>
    </w:p>
    <w:p w14:paraId="3F22EB1D"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Novelou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došlo</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zásadní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změně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sledovanou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veličinou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přestaly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být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pouze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ale </w:t>
      </w:r>
      <w:proofErr w:type="spellStart"/>
      <w:r w:rsidRPr="00305E34">
        <w:rPr>
          <w:rFonts w:ascii="Arial" w:hAnsi="Arial" w:cs="Arial"/>
          <w:color w:val="000000"/>
          <w:shd w:val="clear" w:color="auto" w:fill="FFFFFF"/>
        </w:rPr>
        <w:t>nově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jsou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posuzovány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včetně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úroků</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prodlení</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proofErr w:type="gram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w:t>
      </w:r>
      <w:proofErr w:type="gram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Novelou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tak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došlo</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rozšíření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posuzovaných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a to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světle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historického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vývoje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předmětného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tedy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omezovat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pouze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úroky</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úroky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prodlení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Historický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vývoj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podporuje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měl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zahrnovat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vznikají</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titulu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nevznikly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kdyby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nebyl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daný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w:t>
      </w:r>
      <w:proofErr w:type="spellEnd"/>
      <w:r w:rsidRPr="00305E34">
        <w:rPr>
          <w:rFonts w:ascii="Arial" w:hAnsi="Arial" w:cs="Arial"/>
          <w:color w:val="000000"/>
          <w:shd w:val="clear" w:color="auto" w:fill="FFFFFF"/>
        </w:rPr>
        <w:t>.</w:t>
      </w:r>
    </w:p>
    <w:p w14:paraId="39A28A42" w14:textId="77777777" w:rsidR="005E4E00" w:rsidRPr="00305E34" w:rsidRDefault="005E4E00" w:rsidP="005E4E00">
      <w:pPr>
        <w:jc w:val="both"/>
        <w:rPr>
          <w:rFonts w:ascii="Arial" w:hAnsi="Arial" w:cs="Arial"/>
          <w:color w:val="000000"/>
          <w:shd w:val="clear" w:color="auto" w:fill="FFFFFF"/>
        </w:rPr>
      </w:pPr>
    </w:p>
    <w:p w14:paraId="2B9ECDD6"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2.3 </w:t>
      </w:r>
      <w:proofErr w:type="spellStart"/>
      <w:r w:rsidRPr="00305E34">
        <w:rPr>
          <w:rFonts w:ascii="Arial" w:hAnsi="Arial" w:cs="Arial"/>
          <w:b/>
          <w:color w:val="000000"/>
          <w:shd w:val="clear" w:color="auto" w:fill="FFFFFF"/>
        </w:rPr>
        <w:t>Teleologický</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výklad</w:t>
      </w:r>
      <w:proofErr w:type="spellEnd"/>
      <w:r w:rsidRPr="00305E34">
        <w:rPr>
          <w:rFonts w:ascii="Arial" w:hAnsi="Arial" w:cs="Arial"/>
          <w:b/>
          <w:color w:val="000000"/>
          <w:shd w:val="clear" w:color="auto" w:fill="FFFFFF"/>
        </w:rPr>
        <w:t xml:space="preserve"> </w:t>
      </w:r>
    </w:p>
    <w:p w14:paraId="064B45A4" w14:textId="77777777" w:rsidR="005E4E00" w:rsidRPr="00305E34" w:rsidRDefault="005E4E00" w:rsidP="005E4E00">
      <w:pPr>
        <w:jc w:val="both"/>
        <w:rPr>
          <w:rFonts w:ascii="Arial" w:hAnsi="Arial" w:cs="Arial"/>
          <w:color w:val="000000"/>
          <w:shd w:val="clear" w:color="auto" w:fill="FFFFFF"/>
        </w:rPr>
      </w:pPr>
    </w:p>
    <w:p w14:paraId="10BB4F37"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Rozsah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definice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interpretovat</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prostřednictvím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smyslu</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účelu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tvorby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položek</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nepromlčeným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pohledávkám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vzniklým</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včetně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příslušenství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spořitelními</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úvěrními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družstvy</w:t>
      </w:r>
      <w:proofErr w:type="spellEnd"/>
      <w:r w:rsidRPr="00305E34">
        <w:rPr>
          <w:rFonts w:ascii="Arial" w:hAnsi="Arial" w:cs="Arial"/>
          <w:color w:val="000000"/>
          <w:shd w:val="clear" w:color="auto" w:fill="FFFFFF"/>
        </w:rPr>
        <w:t xml:space="preserve"> </w:t>
      </w:r>
      <w:proofErr w:type="gramStart"/>
      <w:r w:rsidRPr="00305E34">
        <w:rPr>
          <w:rFonts w:ascii="Arial" w:hAnsi="Arial" w:cs="Arial"/>
          <w:color w:val="000000"/>
          <w:shd w:val="clear" w:color="auto" w:fill="FFFFFF"/>
        </w:rPr>
        <w:t>a</w:t>
      </w:r>
      <w:proofErr w:type="gram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ostatními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finančními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institucemi</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smyslu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
    <w:p w14:paraId="7CDAB204" w14:textId="77777777" w:rsidR="005E4E00" w:rsidRPr="00305E34" w:rsidRDefault="005E4E00" w:rsidP="005E4E00">
      <w:pPr>
        <w:jc w:val="both"/>
        <w:rPr>
          <w:rFonts w:ascii="Arial" w:hAnsi="Arial" w:cs="Arial"/>
          <w:color w:val="000000"/>
          <w:shd w:val="clear" w:color="auto" w:fill="FFFFFF"/>
        </w:rPr>
      </w:pPr>
    </w:p>
    <w:p w14:paraId="6CEC36C4" w14:textId="77777777" w:rsidR="005E4E00" w:rsidRPr="00305E34" w:rsidRDefault="005E4E00" w:rsidP="005E4E00">
      <w:pPr>
        <w:jc w:val="both"/>
        <w:rPr>
          <w:rFonts w:ascii="Arial" w:hAnsi="Arial" w:cs="Arial"/>
          <w:color w:val="000000"/>
          <w:shd w:val="clear" w:color="auto" w:fill="FFFFFF"/>
        </w:rPr>
      </w:pPr>
      <w:r w:rsidRPr="00305E34">
        <w:rPr>
          <w:rFonts w:ascii="Arial" w:hAnsi="Arial" w:cs="Arial"/>
          <w:color w:val="000000"/>
          <w:shd w:val="clear" w:color="auto" w:fill="FFFFFF"/>
        </w:rPr>
        <w:lastRenderedPageBreak/>
        <w:t xml:space="preserve">S </w:t>
      </w:r>
      <w:proofErr w:type="spellStart"/>
      <w:r w:rsidRPr="00305E34">
        <w:rPr>
          <w:rFonts w:ascii="Arial" w:hAnsi="Arial" w:cs="Arial"/>
          <w:color w:val="000000"/>
          <w:shd w:val="clear" w:color="auto" w:fill="FFFFFF"/>
        </w:rPr>
        <w:t>ohledem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podstatu</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vymezení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podmínek</w:t>
      </w:r>
      <w:proofErr w:type="spellEnd"/>
      <w:r w:rsidRPr="00305E34">
        <w:rPr>
          <w:rFonts w:ascii="Arial" w:hAnsi="Arial" w:cs="Arial"/>
          <w:color w:val="000000"/>
          <w:shd w:val="clear" w:color="auto" w:fill="FFFFFF"/>
        </w:rPr>
        <w:t xml:space="preserve"> pro </w:t>
      </w:r>
      <w:proofErr w:type="spellStart"/>
      <w:r w:rsidRPr="00305E34">
        <w:rPr>
          <w:rFonts w:ascii="Arial" w:hAnsi="Arial" w:cs="Arial"/>
          <w:color w:val="000000"/>
          <w:shd w:val="clear" w:color="auto" w:fill="FFFFFF"/>
        </w:rPr>
        <w:t>tvorbu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těchto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položek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lze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dovodit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úmyslem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zákonodárce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bylo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umožnit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finančním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institucím</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obdobnou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činností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banky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osobám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oprávněným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poskytovat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č. 257/2016 Sb., o </w:t>
      </w:r>
      <w:proofErr w:type="spellStart"/>
      <w:r w:rsidRPr="00305E34">
        <w:rPr>
          <w:rFonts w:ascii="Arial" w:hAnsi="Arial" w:cs="Arial"/>
          <w:color w:val="000000"/>
          <w:shd w:val="clear" w:color="auto" w:fill="FFFFFF"/>
        </w:rPr>
        <w:t>spotřebitelském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ve </w:t>
      </w:r>
      <w:proofErr w:type="spellStart"/>
      <w:r w:rsidRPr="00305E34">
        <w:rPr>
          <w:rFonts w:ascii="Arial" w:hAnsi="Arial" w:cs="Arial"/>
          <w:color w:val="000000"/>
          <w:shd w:val="clear" w:color="auto" w:fill="FFFFFF"/>
        </w:rPr>
        <w:t>znění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pozdějších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předpisů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poskytujícím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svou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převažující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činnost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tvořit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položky</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pohledávkám</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za </w:t>
      </w:r>
      <w:proofErr w:type="spellStart"/>
      <w:r w:rsidRPr="00305E34">
        <w:rPr>
          <w:rFonts w:ascii="Arial" w:hAnsi="Arial" w:cs="Arial"/>
          <w:color w:val="000000"/>
          <w:shd w:val="clear" w:color="auto" w:fill="FFFFFF"/>
        </w:rPr>
        <w:t>obdobných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podmínek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platí</w:t>
      </w:r>
      <w:proofErr w:type="spellEnd"/>
      <w:r w:rsidRPr="00305E34">
        <w:rPr>
          <w:rFonts w:ascii="Arial" w:hAnsi="Arial" w:cs="Arial"/>
          <w:color w:val="000000"/>
          <w:shd w:val="clear" w:color="auto" w:fill="FFFFFF"/>
        </w:rPr>
        <w:t xml:space="preserve"> pro </w:t>
      </w:r>
      <w:proofErr w:type="spellStart"/>
      <w:r w:rsidRPr="00305E34">
        <w:rPr>
          <w:rFonts w:ascii="Arial" w:hAnsi="Arial" w:cs="Arial"/>
          <w:color w:val="000000"/>
          <w:shd w:val="clear" w:color="auto" w:fill="FFFFFF"/>
        </w:rPr>
        <w:t>banky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Podmínku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se </w:t>
      </w:r>
      <w:proofErr w:type="spellStart"/>
      <w:r w:rsidRPr="00305E34">
        <w:rPr>
          <w:rFonts w:ascii="Arial" w:hAnsi="Arial" w:cs="Arial"/>
          <w:color w:val="000000"/>
          <w:shd w:val="clear" w:color="auto" w:fill="FFFFFF"/>
        </w:rPr>
        <w:t>jedná</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převažující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činnost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finanční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vyjádřil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zákonodárce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zejména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mají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tvořit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alespoň</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polovinu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celkových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finanční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příslušném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zdaňovacím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období</w:t>
      </w:r>
      <w:proofErr w:type="spellEnd"/>
      <w:r w:rsidRPr="00305E34">
        <w:rPr>
          <w:rFonts w:ascii="Arial" w:hAnsi="Arial" w:cs="Arial"/>
          <w:color w:val="000000"/>
          <w:shd w:val="clear" w:color="auto" w:fill="FFFFFF"/>
        </w:rPr>
        <w:t xml:space="preserve">.  </w:t>
      </w:r>
    </w:p>
    <w:p w14:paraId="3CFDEC06" w14:textId="77777777" w:rsidR="005E4E00" w:rsidRPr="00305E34" w:rsidRDefault="005E4E00" w:rsidP="005E4E00">
      <w:pPr>
        <w:jc w:val="both"/>
        <w:rPr>
          <w:rFonts w:ascii="Arial" w:hAnsi="Arial" w:cs="Arial"/>
          <w:color w:val="000000"/>
          <w:shd w:val="clear" w:color="auto" w:fill="FFFFFF"/>
        </w:rPr>
      </w:pPr>
    </w:p>
    <w:p w14:paraId="74546E87" w14:textId="77777777" w:rsidR="005E4E00" w:rsidRPr="00305E34" w:rsidRDefault="005E4E00" w:rsidP="005E4E00">
      <w:pPr>
        <w:jc w:val="both"/>
        <w:rPr>
          <w:rFonts w:ascii="Arial" w:hAnsi="Arial" w:cs="Arial"/>
          <w:color w:val="000000"/>
          <w:shd w:val="clear" w:color="auto" w:fill="FFFFFF"/>
        </w:rPr>
      </w:pPr>
      <w:r w:rsidRPr="00305E34">
        <w:rPr>
          <w:rFonts w:ascii="Arial" w:hAnsi="Arial" w:cs="Arial"/>
          <w:color w:val="000000"/>
          <w:shd w:val="clear" w:color="auto" w:fill="FFFFFF"/>
        </w:rPr>
        <w:t xml:space="preserve">S </w:t>
      </w:r>
      <w:proofErr w:type="spellStart"/>
      <w:r w:rsidRPr="00305E34">
        <w:rPr>
          <w:rFonts w:ascii="Arial" w:hAnsi="Arial" w:cs="Arial"/>
          <w:color w:val="000000"/>
          <w:shd w:val="clear" w:color="auto" w:fill="FFFFFF"/>
        </w:rPr>
        <w:t>ohledem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smysl</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účel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kterým</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umožnit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tvorbu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opravných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položek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všem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subjektům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jejich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převažující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nadpoloviční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činností</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poskytování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nezbytné</w:t>
      </w:r>
      <w:proofErr w:type="spellEnd"/>
      <w:r w:rsidRPr="00305E34">
        <w:rPr>
          <w:rFonts w:ascii="Arial" w:hAnsi="Arial" w:cs="Arial"/>
          <w:color w:val="000000"/>
          <w:shd w:val="clear" w:color="auto" w:fill="FFFFFF"/>
        </w:rPr>
        <w:t xml:space="preserve"> do </w:t>
      </w:r>
      <w:proofErr w:type="spellStart"/>
      <w:r w:rsidRPr="00305E34">
        <w:rPr>
          <w:rFonts w:ascii="Arial" w:hAnsi="Arial" w:cs="Arial"/>
          <w:color w:val="000000"/>
          <w:shd w:val="clear" w:color="auto" w:fill="FFFFFF"/>
        </w:rPr>
        <w:t>množiny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zahrnout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této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činnosti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se k </w:t>
      </w:r>
      <w:proofErr w:type="spellStart"/>
      <w:r w:rsidRPr="00305E34">
        <w:rPr>
          <w:rFonts w:ascii="Arial" w:hAnsi="Arial" w:cs="Arial"/>
          <w:color w:val="000000"/>
          <w:shd w:val="clear" w:color="auto" w:fill="FFFFFF"/>
        </w:rPr>
        <w:t>poskytnutým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váží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natolik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nebýt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w:t>
      </w:r>
      <w:proofErr w:type="spellEnd"/>
      <w:r w:rsidRPr="00305E34">
        <w:rPr>
          <w:rFonts w:ascii="Arial" w:hAnsi="Arial" w:cs="Arial"/>
          <w:color w:val="000000"/>
          <w:shd w:val="clear" w:color="auto" w:fill="FFFFFF"/>
        </w:rPr>
        <w:t xml:space="preserve"> by se </w:t>
      </w:r>
      <w:proofErr w:type="spellStart"/>
      <w:r w:rsidRPr="00305E34">
        <w:rPr>
          <w:rFonts w:ascii="Arial" w:hAnsi="Arial" w:cs="Arial"/>
          <w:color w:val="000000"/>
          <w:shd w:val="clear" w:color="auto" w:fill="FFFFFF"/>
        </w:rPr>
        <w:t>nerealizoval</w:t>
      </w:r>
      <w:proofErr w:type="spellEnd"/>
      <w:r w:rsidRPr="00305E34">
        <w:rPr>
          <w:rFonts w:ascii="Arial" w:hAnsi="Arial" w:cs="Arial"/>
          <w:color w:val="000000"/>
          <w:shd w:val="clear" w:color="auto" w:fill="FFFFFF"/>
        </w:rPr>
        <w:t xml:space="preserve">. </w:t>
      </w:r>
    </w:p>
    <w:p w14:paraId="662134C4" w14:textId="77777777" w:rsidR="005E4E00" w:rsidRPr="00305E34" w:rsidRDefault="005E4E00" w:rsidP="005E4E00">
      <w:pPr>
        <w:jc w:val="both"/>
        <w:rPr>
          <w:rFonts w:ascii="Arial" w:hAnsi="Arial" w:cs="Arial"/>
          <w:color w:val="000000"/>
          <w:shd w:val="clear" w:color="auto" w:fill="FFFFFF"/>
        </w:rPr>
      </w:pPr>
    </w:p>
    <w:p w14:paraId="22F229A2"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2.4 </w:t>
      </w:r>
      <w:proofErr w:type="spellStart"/>
      <w:r w:rsidRPr="00305E34">
        <w:rPr>
          <w:rFonts w:ascii="Arial" w:hAnsi="Arial" w:cs="Arial"/>
          <w:b/>
          <w:color w:val="000000"/>
          <w:shd w:val="clear" w:color="auto" w:fill="FFFFFF"/>
        </w:rPr>
        <w:t>Aplikace</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na</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posuzovanou</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problematiku</w:t>
      </w:r>
      <w:proofErr w:type="spellEnd"/>
      <w:r w:rsidRPr="00305E34">
        <w:rPr>
          <w:rFonts w:ascii="Arial" w:hAnsi="Arial" w:cs="Arial"/>
          <w:b/>
          <w:color w:val="000000"/>
          <w:shd w:val="clear" w:color="auto" w:fill="FFFFFF"/>
        </w:rPr>
        <w:t xml:space="preserve"> </w:t>
      </w:r>
    </w:p>
    <w:p w14:paraId="3F33EAF1" w14:textId="77777777" w:rsidR="005E4E00" w:rsidRPr="00305E34" w:rsidRDefault="005E4E00" w:rsidP="005E4E00">
      <w:pPr>
        <w:jc w:val="both"/>
        <w:rPr>
          <w:rFonts w:ascii="Arial" w:hAnsi="Arial" w:cs="Arial"/>
          <w:color w:val="000000"/>
          <w:shd w:val="clear" w:color="auto" w:fill="FFFFFF"/>
        </w:rPr>
      </w:pPr>
    </w:p>
    <w:p w14:paraId="45C8F724"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Poskytovatel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základě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praxi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negeneruje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pouze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úrokový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ale i </w:t>
      </w:r>
      <w:proofErr w:type="spellStart"/>
      <w:r w:rsidRPr="00305E34">
        <w:rPr>
          <w:rFonts w:ascii="Arial" w:hAnsi="Arial" w:cs="Arial"/>
          <w:color w:val="000000"/>
          <w:shd w:val="clear" w:color="auto" w:fill="FFFFFF"/>
        </w:rPr>
        <w:t>jiné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nerealizoval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nebýt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např</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Ačkoliv</w:t>
      </w:r>
      <w:proofErr w:type="spellEnd"/>
      <w:r w:rsidRPr="00305E34">
        <w:rPr>
          <w:rFonts w:ascii="Arial" w:hAnsi="Arial" w:cs="Arial"/>
          <w:color w:val="000000"/>
          <w:shd w:val="clear" w:color="auto" w:fill="FFFFFF"/>
        </w:rPr>
        <w:t xml:space="preserve"> se </w:t>
      </w:r>
      <w:proofErr w:type="spellStart"/>
      <w:r w:rsidRPr="00305E34">
        <w:rPr>
          <w:rFonts w:ascii="Arial" w:hAnsi="Arial" w:cs="Arial"/>
          <w:color w:val="000000"/>
          <w:shd w:val="clear" w:color="auto" w:fill="FFFFFF"/>
        </w:rPr>
        <w:t>nejedná</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službu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podmiňuje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tato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služba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poskytována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pouze</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výhradně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jako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služba</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poskytnutému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instituce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nezprostředkovávají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samostatně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inherentně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spojeno</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poskytnutými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nebyly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realizovány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pokud</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nedošlo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sjednání</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Ekonomicky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tedy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představuje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
    <w:p w14:paraId="49BE06E1" w14:textId="77777777" w:rsidR="005E4E00" w:rsidRPr="00305E34" w:rsidRDefault="005E4E00" w:rsidP="005E4E00">
      <w:pPr>
        <w:jc w:val="both"/>
        <w:rPr>
          <w:rFonts w:ascii="Arial" w:hAnsi="Arial" w:cs="Arial"/>
          <w:color w:val="000000"/>
          <w:shd w:val="clear" w:color="auto" w:fill="FFFFFF"/>
        </w:rPr>
      </w:pPr>
    </w:p>
    <w:p w14:paraId="1A1AC7AC"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Předkladatelé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jsou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základě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uvedeného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přesvědčeni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mezi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patří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veškeré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výnosové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položky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jejichž</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vznik</w:t>
      </w:r>
      <w:proofErr w:type="spellEnd"/>
      <w:r w:rsidRPr="00305E34">
        <w:rPr>
          <w:rFonts w:ascii="Arial" w:hAnsi="Arial" w:cs="Arial"/>
          <w:color w:val="000000"/>
          <w:shd w:val="clear" w:color="auto" w:fill="FFFFFF"/>
        </w:rPr>
        <w:t xml:space="preserve"> je z </w:t>
      </w:r>
      <w:proofErr w:type="spellStart"/>
      <w:r w:rsidRPr="00305E34">
        <w:rPr>
          <w:rFonts w:ascii="Arial" w:hAnsi="Arial" w:cs="Arial"/>
          <w:color w:val="000000"/>
          <w:shd w:val="clear" w:color="auto" w:fill="FFFFFF"/>
        </w:rPr>
        <w:t>ekonomického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podstaty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podmíněn</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existencí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úvěrů</w:t>
      </w:r>
      <w:proofErr w:type="spellEnd"/>
      <w:r w:rsidRPr="00305E34">
        <w:rPr>
          <w:rFonts w:ascii="Arial" w:hAnsi="Arial" w:cs="Arial"/>
          <w:color w:val="000000"/>
          <w:shd w:val="clear" w:color="auto" w:fill="FFFFFF"/>
        </w:rPr>
        <w:t xml:space="preserve">. To </w:t>
      </w:r>
      <w:proofErr w:type="spellStart"/>
      <w:r w:rsidRPr="00305E34">
        <w:rPr>
          <w:rFonts w:ascii="Arial" w:hAnsi="Arial" w:cs="Arial"/>
          <w:color w:val="000000"/>
          <w:shd w:val="clear" w:color="auto" w:fill="FFFFFF"/>
        </w:rPr>
        <w:t>znamená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kromě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úrokových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případně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úroků</w:t>
      </w:r>
      <w:proofErr w:type="spellEnd"/>
      <w:r w:rsidRPr="00305E34">
        <w:rPr>
          <w:rFonts w:ascii="Arial" w:hAnsi="Arial" w:cs="Arial"/>
          <w:color w:val="000000"/>
          <w:shd w:val="clear" w:color="auto" w:fill="FFFFFF"/>
        </w:rPr>
        <w:t xml:space="preserve"> z </w:t>
      </w:r>
      <w:proofErr w:type="spellStart"/>
      <w:r w:rsidRPr="00305E34">
        <w:rPr>
          <w:rFonts w:ascii="Arial" w:hAnsi="Arial" w:cs="Arial"/>
          <w:color w:val="000000"/>
          <w:shd w:val="clear" w:color="auto" w:fill="FFFFFF"/>
        </w:rPr>
        <w:t>prodlení</w:t>
      </w:r>
      <w:proofErr w:type="spellEnd"/>
      <w:r w:rsidRPr="00305E34">
        <w:rPr>
          <w:rFonts w:ascii="Arial" w:hAnsi="Arial" w:cs="Arial"/>
          <w:color w:val="000000"/>
          <w:shd w:val="clear" w:color="auto" w:fill="FFFFFF"/>
        </w:rPr>
        <w:t xml:space="preserve">, by se </w:t>
      </w:r>
      <w:proofErr w:type="spellStart"/>
      <w:r w:rsidRPr="00305E34">
        <w:rPr>
          <w:rFonts w:ascii="Arial" w:hAnsi="Arial" w:cs="Arial"/>
          <w:color w:val="000000"/>
          <w:shd w:val="clear" w:color="auto" w:fill="FFFFFF"/>
        </w:rPr>
        <w:t>jako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měly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považovat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např</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ze </w:t>
      </w:r>
      <w:proofErr w:type="spellStart"/>
      <w:r w:rsidRPr="00305E34">
        <w:rPr>
          <w:rFonts w:ascii="Arial" w:hAnsi="Arial" w:cs="Arial"/>
          <w:color w:val="000000"/>
          <w:shd w:val="clear" w:color="auto" w:fill="FFFFFF"/>
        </w:rPr>
        <w:t>zprostředkování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pojištění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schopnosti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splácet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poskytnutý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tj</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které</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poskytovatelem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nebyly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generovány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pokud</w:t>
      </w:r>
      <w:proofErr w:type="spellEnd"/>
      <w:r w:rsidRPr="00305E34">
        <w:rPr>
          <w:rFonts w:ascii="Arial" w:hAnsi="Arial" w:cs="Arial"/>
          <w:color w:val="000000"/>
          <w:shd w:val="clear" w:color="auto" w:fill="FFFFFF"/>
        </w:rPr>
        <w:t xml:space="preserve"> by </w:t>
      </w:r>
      <w:proofErr w:type="spellStart"/>
      <w:r w:rsidRPr="00305E34">
        <w:rPr>
          <w:rFonts w:ascii="Arial" w:hAnsi="Arial" w:cs="Arial"/>
          <w:color w:val="000000"/>
          <w:shd w:val="clear" w:color="auto" w:fill="FFFFFF"/>
        </w:rPr>
        <w:t>nedošlo</w:t>
      </w:r>
      <w:proofErr w:type="spellEnd"/>
      <w:r w:rsidRPr="00305E34">
        <w:rPr>
          <w:rFonts w:ascii="Arial" w:hAnsi="Arial" w:cs="Arial"/>
          <w:color w:val="000000"/>
          <w:shd w:val="clear" w:color="auto" w:fill="FFFFFF"/>
        </w:rPr>
        <w:t xml:space="preserve"> k </w:t>
      </w:r>
      <w:proofErr w:type="spellStart"/>
      <w:r w:rsidRPr="00305E34">
        <w:rPr>
          <w:rFonts w:ascii="Arial" w:hAnsi="Arial" w:cs="Arial"/>
          <w:color w:val="000000"/>
          <w:shd w:val="clear" w:color="auto" w:fill="FFFFFF"/>
        </w:rPr>
        <w:t>poskytnutí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spotřebitelského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úvěru</w:t>
      </w:r>
      <w:proofErr w:type="spellEnd"/>
      <w:r w:rsidRPr="00305E34">
        <w:rPr>
          <w:rFonts w:ascii="Arial" w:hAnsi="Arial" w:cs="Arial"/>
          <w:color w:val="000000"/>
          <w:shd w:val="clear" w:color="auto" w:fill="FFFFFF"/>
        </w:rPr>
        <w:t xml:space="preserve">.  </w:t>
      </w:r>
    </w:p>
    <w:p w14:paraId="106AD479" w14:textId="77777777" w:rsidR="005E4E00" w:rsidRPr="00305E34" w:rsidRDefault="005E4E00" w:rsidP="005E4E00">
      <w:pPr>
        <w:jc w:val="both"/>
        <w:rPr>
          <w:rFonts w:ascii="Arial" w:hAnsi="Arial" w:cs="Arial"/>
          <w:color w:val="000000"/>
          <w:shd w:val="clear" w:color="auto" w:fill="FFFFFF"/>
        </w:rPr>
      </w:pPr>
    </w:p>
    <w:p w14:paraId="6D65E844" w14:textId="77777777" w:rsidR="005E4E00" w:rsidRPr="00305E34" w:rsidRDefault="005E4E00" w:rsidP="005E4E00">
      <w:pPr>
        <w:jc w:val="both"/>
        <w:rPr>
          <w:rFonts w:ascii="Arial" w:hAnsi="Arial" w:cs="Arial"/>
          <w:color w:val="000000"/>
          <w:shd w:val="clear" w:color="auto" w:fill="FFFFFF"/>
        </w:rPr>
      </w:pPr>
      <w:proofErr w:type="spellStart"/>
      <w:r w:rsidRPr="00305E34">
        <w:rPr>
          <w:rFonts w:ascii="Arial" w:hAnsi="Arial" w:cs="Arial"/>
          <w:color w:val="000000"/>
          <w:shd w:val="clear" w:color="auto" w:fill="FFFFFF"/>
        </w:rPr>
        <w:t>Předkladatelé</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této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souvislosti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podotýkají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že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výše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uvedená</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interpretace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rozsahu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pojmu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kvalifikovaných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výnosů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ustanovení</w:t>
      </w:r>
      <w:proofErr w:type="spellEnd"/>
      <w:r w:rsidRPr="00305E34">
        <w:rPr>
          <w:rFonts w:ascii="Arial" w:hAnsi="Arial" w:cs="Arial"/>
          <w:color w:val="000000"/>
          <w:shd w:val="clear" w:color="auto" w:fill="FFFFFF"/>
        </w:rPr>
        <w:t xml:space="preserve"> § 5a </w:t>
      </w:r>
      <w:proofErr w:type="spellStart"/>
      <w:r w:rsidRPr="00305E34">
        <w:rPr>
          <w:rFonts w:ascii="Arial" w:hAnsi="Arial" w:cs="Arial"/>
          <w:color w:val="000000"/>
          <w:shd w:val="clear" w:color="auto" w:fill="FFFFFF"/>
        </w:rPr>
        <w:t>odst</w:t>
      </w:r>
      <w:proofErr w:type="spellEnd"/>
      <w:r w:rsidRPr="00305E34">
        <w:rPr>
          <w:rFonts w:ascii="Arial" w:hAnsi="Arial" w:cs="Arial"/>
          <w:color w:val="000000"/>
          <w:shd w:val="clear" w:color="auto" w:fill="FFFFFF"/>
        </w:rPr>
        <w:t xml:space="preserve">. 2 </w:t>
      </w:r>
      <w:proofErr w:type="spellStart"/>
      <w:r w:rsidRPr="00305E34">
        <w:rPr>
          <w:rFonts w:ascii="Arial" w:hAnsi="Arial" w:cs="Arial"/>
          <w:color w:val="000000"/>
          <w:shd w:val="clear" w:color="auto" w:fill="FFFFFF"/>
        </w:rPr>
        <w:t>písm</w:t>
      </w:r>
      <w:proofErr w:type="spellEnd"/>
      <w:r w:rsidRPr="00305E34">
        <w:rPr>
          <w:rFonts w:ascii="Arial" w:hAnsi="Arial" w:cs="Arial"/>
          <w:color w:val="000000"/>
          <w:shd w:val="clear" w:color="auto" w:fill="FFFFFF"/>
        </w:rPr>
        <w:t xml:space="preserve">. b) </w:t>
      </w:r>
      <w:proofErr w:type="spellStart"/>
      <w:r w:rsidRPr="00305E34">
        <w:rPr>
          <w:rFonts w:ascii="Arial" w:hAnsi="Arial" w:cs="Arial"/>
          <w:color w:val="000000"/>
          <w:shd w:val="clear" w:color="auto" w:fill="FFFFFF"/>
        </w:rPr>
        <w:t>zákona</w:t>
      </w:r>
      <w:proofErr w:type="spellEnd"/>
      <w:r w:rsidRPr="00305E34">
        <w:rPr>
          <w:rFonts w:ascii="Arial" w:hAnsi="Arial" w:cs="Arial"/>
          <w:color w:val="000000"/>
          <w:shd w:val="clear" w:color="auto" w:fill="FFFFFF"/>
        </w:rPr>
        <w:t xml:space="preserve"> o </w:t>
      </w:r>
      <w:proofErr w:type="spellStart"/>
      <w:r w:rsidRPr="00305E34">
        <w:rPr>
          <w:rFonts w:ascii="Arial" w:hAnsi="Arial" w:cs="Arial"/>
          <w:color w:val="000000"/>
          <w:shd w:val="clear" w:color="auto" w:fill="FFFFFF"/>
        </w:rPr>
        <w:t>rezervách</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není</w:t>
      </w:r>
      <w:proofErr w:type="spellEnd"/>
      <w:r w:rsidRPr="00305E34">
        <w:rPr>
          <w:rFonts w:ascii="Arial" w:hAnsi="Arial" w:cs="Arial"/>
          <w:color w:val="000000"/>
          <w:shd w:val="clear" w:color="auto" w:fill="FFFFFF"/>
        </w:rPr>
        <w:t xml:space="preserve"> v </w:t>
      </w:r>
      <w:proofErr w:type="spellStart"/>
      <w:r w:rsidRPr="00305E34">
        <w:rPr>
          <w:rFonts w:ascii="Arial" w:hAnsi="Arial" w:cs="Arial"/>
          <w:color w:val="000000"/>
          <w:shd w:val="clear" w:color="auto" w:fill="FFFFFF"/>
        </w:rPr>
        <w:t>rozporu</w:t>
      </w:r>
      <w:proofErr w:type="spellEnd"/>
      <w:r w:rsidRPr="00305E34">
        <w:rPr>
          <w:rFonts w:ascii="Arial" w:hAnsi="Arial" w:cs="Arial"/>
          <w:color w:val="000000"/>
          <w:shd w:val="clear" w:color="auto" w:fill="FFFFFF"/>
        </w:rPr>
        <w:t xml:space="preserve"> s </w:t>
      </w:r>
      <w:proofErr w:type="spellStart"/>
      <w:r w:rsidRPr="00305E34">
        <w:rPr>
          <w:rFonts w:ascii="Arial" w:hAnsi="Arial" w:cs="Arial"/>
          <w:color w:val="000000"/>
          <w:shd w:val="clear" w:color="auto" w:fill="FFFFFF"/>
        </w:rPr>
        <w:t>prameny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či</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odbornou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literaturou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Zmiňovaný</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smysl</w:t>
      </w:r>
      <w:proofErr w:type="spellEnd"/>
      <w:r w:rsidRPr="00305E34">
        <w:rPr>
          <w:rFonts w:ascii="Arial" w:hAnsi="Arial" w:cs="Arial"/>
          <w:color w:val="000000"/>
          <w:shd w:val="clear" w:color="auto" w:fill="FFFFFF"/>
        </w:rPr>
        <w:t xml:space="preserve"> a </w:t>
      </w:r>
      <w:proofErr w:type="spellStart"/>
      <w:r w:rsidRPr="00305E34">
        <w:rPr>
          <w:rFonts w:ascii="Arial" w:hAnsi="Arial" w:cs="Arial"/>
          <w:color w:val="000000"/>
          <w:shd w:val="clear" w:color="auto" w:fill="FFFFFF"/>
        </w:rPr>
        <w:t>účel</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právní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úpravy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naopak</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potvrzují</w:t>
      </w:r>
      <w:proofErr w:type="spellEnd"/>
      <w:r w:rsidRPr="00305E34">
        <w:rPr>
          <w:rFonts w:ascii="Arial" w:hAnsi="Arial" w:cs="Arial"/>
          <w:color w:val="000000"/>
          <w:shd w:val="clear" w:color="auto" w:fill="FFFFFF"/>
        </w:rPr>
        <w:t xml:space="preserve"> i </w:t>
      </w:r>
      <w:proofErr w:type="spellStart"/>
      <w:r w:rsidRPr="00305E34">
        <w:rPr>
          <w:rFonts w:ascii="Arial" w:hAnsi="Arial" w:cs="Arial"/>
          <w:color w:val="000000"/>
          <w:shd w:val="clear" w:color="auto" w:fill="FFFFFF"/>
        </w:rPr>
        <w:t>závěry</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předchozího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příspěvku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koordinačního</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výboru</w:t>
      </w:r>
      <w:proofErr w:type="spellEnd"/>
      <w:r w:rsidRPr="00305E34">
        <w:rPr>
          <w:rFonts w:ascii="Arial" w:hAnsi="Arial" w:cs="Arial"/>
          <w:color w:val="000000"/>
          <w:shd w:val="clear" w:color="auto" w:fill="FFFFFF"/>
        </w:rPr>
        <w:t xml:space="preserve">.  </w:t>
      </w:r>
    </w:p>
    <w:p w14:paraId="798C6F63" w14:textId="77777777" w:rsidR="005E4E00" w:rsidRPr="00305E34" w:rsidRDefault="005E4E00" w:rsidP="005E4E00">
      <w:pPr>
        <w:jc w:val="both"/>
        <w:rPr>
          <w:rFonts w:ascii="Arial" w:hAnsi="Arial" w:cs="Arial"/>
          <w:b/>
          <w:color w:val="000000"/>
          <w:shd w:val="clear" w:color="auto" w:fill="FFFFFF"/>
        </w:rPr>
      </w:pPr>
    </w:p>
    <w:p w14:paraId="1B9A1E61" w14:textId="77777777" w:rsidR="005E4E00" w:rsidRPr="00305E34" w:rsidRDefault="005E4E00" w:rsidP="005E4E00">
      <w:pPr>
        <w:jc w:val="both"/>
        <w:rPr>
          <w:rFonts w:ascii="Arial" w:hAnsi="Arial" w:cs="Arial"/>
          <w:b/>
          <w:color w:val="000000"/>
          <w:shd w:val="clear" w:color="auto" w:fill="FFFFFF"/>
        </w:rPr>
      </w:pPr>
      <w:r w:rsidRPr="00305E34">
        <w:rPr>
          <w:rFonts w:ascii="Arial" w:hAnsi="Arial" w:cs="Arial"/>
          <w:b/>
          <w:color w:val="000000"/>
          <w:shd w:val="clear" w:color="auto" w:fill="FFFFFF"/>
        </w:rPr>
        <w:t xml:space="preserve">3 </w:t>
      </w:r>
      <w:proofErr w:type="spellStart"/>
      <w:r w:rsidRPr="00305E34">
        <w:rPr>
          <w:rFonts w:ascii="Arial" w:hAnsi="Arial" w:cs="Arial"/>
          <w:b/>
          <w:color w:val="000000"/>
          <w:shd w:val="clear" w:color="auto" w:fill="FFFFFF"/>
        </w:rPr>
        <w:t>Závěr</w:t>
      </w:r>
      <w:proofErr w:type="spellEnd"/>
      <w:r w:rsidRPr="00305E34">
        <w:rPr>
          <w:rFonts w:ascii="Arial" w:hAnsi="Arial" w:cs="Arial"/>
          <w:b/>
          <w:color w:val="000000"/>
          <w:shd w:val="clear" w:color="auto" w:fill="FFFFFF"/>
        </w:rPr>
        <w:t xml:space="preserve"> </w:t>
      </w:r>
    </w:p>
    <w:p w14:paraId="028C3AFF" w14:textId="77777777" w:rsidR="005E4E00" w:rsidRPr="00305E34" w:rsidRDefault="005E4E00" w:rsidP="005E4E00">
      <w:pPr>
        <w:jc w:val="both"/>
        <w:rPr>
          <w:rFonts w:ascii="Arial" w:hAnsi="Arial" w:cs="Arial"/>
          <w:color w:val="000000"/>
          <w:shd w:val="clear" w:color="auto" w:fill="FFFFFF"/>
        </w:rPr>
      </w:pPr>
    </w:p>
    <w:p w14:paraId="58BFEE40" w14:textId="77777777" w:rsidR="005E4E00" w:rsidRPr="00305E34" w:rsidRDefault="005E4E00" w:rsidP="005E4E00">
      <w:pPr>
        <w:jc w:val="both"/>
        <w:rPr>
          <w:rFonts w:ascii="Arial" w:hAnsi="Arial" w:cs="Arial"/>
          <w:color w:val="000000"/>
          <w:shd w:val="clear" w:color="auto" w:fill="FFFFFF"/>
        </w:rPr>
      </w:pPr>
      <w:r w:rsidRPr="00305E34">
        <w:rPr>
          <w:rFonts w:ascii="Arial" w:hAnsi="Arial" w:cs="Arial"/>
          <w:color w:val="000000"/>
          <w:shd w:val="clear" w:color="auto" w:fill="FFFFFF"/>
        </w:rPr>
        <w:t xml:space="preserve">Na </w:t>
      </w:r>
      <w:proofErr w:type="spellStart"/>
      <w:r w:rsidRPr="00305E34">
        <w:rPr>
          <w:rFonts w:ascii="Arial" w:hAnsi="Arial" w:cs="Arial"/>
          <w:color w:val="000000"/>
          <w:shd w:val="clear" w:color="auto" w:fill="FFFFFF"/>
        </w:rPr>
        <w:t>základě</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výše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uvedeného</w:t>
      </w:r>
      <w:proofErr w:type="spellEnd"/>
      <w:r w:rsidRPr="00305E34">
        <w:rPr>
          <w:rFonts w:ascii="Arial" w:hAnsi="Arial" w:cs="Arial"/>
          <w:color w:val="000000"/>
          <w:shd w:val="clear" w:color="auto" w:fill="FFFFFF"/>
        </w:rPr>
        <w:t xml:space="preserve"> je </w:t>
      </w:r>
      <w:proofErr w:type="spellStart"/>
      <w:r w:rsidRPr="00305E34">
        <w:rPr>
          <w:rFonts w:ascii="Arial" w:hAnsi="Arial" w:cs="Arial"/>
          <w:color w:val="000000"/>
          <w:shd w:val="clear" w:color="auto" w:fill="FFFFFF"/>
        </w:rPr>
        <w:t>dle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předkladatelů</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možné</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přijmout</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následující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závěr</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který</w:t>
      </w:r>
      <w:proofErr w:type="spellEnd"/>
      <w:r w:rsidRPr="00305E34">
        <w:rPr>
          <w:rFonts w:ascii="Arial" w:hAnsi="Arial" w:cs="Arial"/>
          <w:color w:val="000000"/>
          <w:shd w:val="clear" w:color="auto" w:fill="FFFFFF"/>
        </w:rPr>
        <w:t xml:space="preserve"> po </w:t>
      </w:r>
      <w:proofErr w:type="spellStart"/>
      <w:r w:rsidRPr="00305E34">
        <w:rPr>
          <w:rFonts w:ascii="Arial" w:hAnsi="Arial" w:cs="Arial"/>
          <w:color w:val="000000"/>
          <w:shd w:val="clear" w:color="auto" w:fill="FFFFFF"/>
        </w:rPr>
        <w:t>projednání</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příspěvku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na</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koordinačním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výboru</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doporučujeme</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vhodným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způsobem</w:t>
      </w:r>
      <w:proofErr w:type="spellEnd"/>
      <w:r w:rsidRPr="00305E34">
        <w:rPr>
          <w:rFonts w:ascii="Arial" w:hAnsi="Arial" w:cs="Arial"/>
          <w:color w:val="000000"/>
          <w:shd w:val="clear" w:color="auto" w:fill="FFFFFF"/>
        </w:rPr>
        <w:t xml:space="preserve"> </w:t>
      </w:r>
      <w:proofErr w:type="spellStart"/>
      <w:r w:rsidRPr="00305E34">
        <w:rPr>
          <w:rFonts w:ascii="Arial" w:hAnsi="Arial" w:cs="Arial"/>
          <w:color w:val="000000"/>
          <w:shd w:val="clear" w:color="auto" w:fill="FFFFFF"/>
        </w:rPr>
        <w:t>publikovat</w:t>
      </w:r>
      <w:proofErr w:type="spellEnd"/>
      <w:r w:rsidRPr="00305E34">
        <w:rPr>
          <w:rFonts w:ascii="Arial" w:hAnsi="Arial" w:cs="Arial"/>
          <w:color w:val="000000"/>
          <w:shd w:val="clear" w:color="auto" w:fill="FFFFFF"/>
        </w:rPr>
        <w:t xml:space="preserve">:  </w:t>
      </w:r>
    </w:p>
    <w:p w14:paraId="5623EE22" w14:textId="77777777" w:rsidR="005E4E00" w:rsidRPr="00305E34" w:rsidRDefault="005E4E00" w:rsidP="005E4E00">
      <w:pPr>
        <w:jc w:val="both"/>
        <w:rPr>
          <w:rFonts w:ascii="Arial" w:hAnsi="Arial" w:cs="Arial"/>
          <w:color w:val="000000"/>
          <w:shd w:val="clear" w:color="auto" w:fill="FFFFFF"/>
        </w:rPr>
      </w:pPr>
    </w:p>
    <w:p w14:paraId="3B7379E0" w14:textId="77777777" w:rsidR="005E4E00" w:rsidRDefault="005E4E00" w:rsidP="005E4E00">
      <w:pPr>
        <w:jc w:val="both"/>
        <w:rPr>
          <w:rFonts w:ascii="Arial" w:hAnsi="Arial" w:cs="Arial"/>
          <w:b/>
          <w:color w:val="000000"/>
          <w:shd w:val="clear" w:color="auto" w:fill="FFFFFF"/>
        </w:rPr>
      </w:pPr>
      <w:proofErr w:type="spellStart"/>
      <w:r w:rsidRPr="00305E34">
        <w:rPr>
          <w:rFonts w:ascii="Arial" w:hAnsi="Arial" w:cs="Arial"/>
          <w:b/>
          <w:color w:val="000000"/>
          <w:shd w:val="clear" w:color="auto" w:fill="FFFFFF"/>
        </w:rPr>
        <w:t>Pojem</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výnosy</w:t>
      </w:r>
      <w:proofErr w:type="spellEnd"/>
      <w:r w:rsidRPr="00305E34">
        <w:rPr>
          <w:rFonts w:ascii="Arial" w:hAnsi="Arial" w:cs="Arial"/>
          <w:b/>
          <w:color w:val="000000"/>
          <w:shd w:val="clear" w:color="auto" w:fill="FFFFFF"/>
        </w:rPr>
        <w:t xml:space="preserve"> z </w:t>
      </w:r>
      <w:proofErr w:type="spellStart"/>
      <w:r w:rsidRPr="00305E34">
        <w:rPr>
          <w:rFonts w:ascii="Arial" w:hAnsi="Arial" w:cs="Arial"/>
          <w:b/>
          <w:color w:val="000000"/>
          <w:shd w:val="clear" w:color="auto" w:fill="FFFFFF"/>
        </w:rPr>
        <w:t>poskytnutých</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úvěrů</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podle</w:t>
      </w:r>
      <w:proofErr w:type="spellEnd"/>
      <w:r w:rsidRPr="00305E34">
        <w:rPr>
          <w:rFonts w:ascii="Arial" w:hAnsi="Arial" w:cs="Arial"/>
          <w:b/>
          <w:color w:val="000000"/>
          <w:shd w:val="clear" w:color="auto" w:fill="FFFFFF"/>
        </w:rPr>
        <w:t xml:space="preserve"> § 5a </w:t>
      </w:r>
      <w:proofErr w:type="spellStart"/>
      <w:r w:rsidRPr="00305E34">
        <w:rPr>
          <w:rFonts w:ascii="Arial" w:hAnsi="Arial" w:cs="Arial"/>
          <w:b/>
          <w:color w:val="000000"/>
          <w:shd w:val="clear" w:color="auto" w:fill="FFFFFF"/>
        </w:rPr>
        <w:t>odst</w:t>
      </w:r>
      <w:proofErr w:type="spellEnd"/>
      <w:r w:rsidRPr="00305E34">
        <w:rPr>
          <w:rFonts w:ascii="Arial" w:hAnsi="Arial" w:cs="Arial"/>
          <w:b/>
          <w:color w:val="000000"/>
          <w:shd w:val="clear" w:color="auto" w:fill="FFFFFF"/>
        </w:rPr>
        <w:t xml:space="preserve">. 2 </w:t>
      </w:r>
      <w:proofErr w:type="spellStart"/>
      <w:r w:rsidRPr="00305E34">
        <w:rPr>
          <w:rFonts w:ascii="Arial" w:hAnsi="Arial" w:cs="Arial"/>
          <w:b/>
          <w:color w:val="000000"/>
          <w:shd w:val="clear" w:color="auto" w:fill="FFFFFF"/>
        </w:rPr>
        <w:t>písm</w:t>
      </w:r>
      <w:proofErr w:type="spellEnd"/>
      <w:r w:rsidRPr="00305E34">
        <w:rPr>
          <w:rFonts w:ascii="Arial" w:hAnsi="Arial" w:cs="Arial"/>
          <w:b/>
          <w:color w:val="000000"/>
          <w:shd w:val="clear" w:color="auto" w:fill="FFFFFF"/>
        </w:rPr>
        <w:t xml:space="preserve">. b) </w:t>
      </w:r>
      <w:proofErr w:type="spellStart"/>
      <w:r w:rsidRPr="00305E34">
        <w:rPr>
          <w:rFonts w:ascii="Arial" w:hAnsi="Arial" w:cs="Arial"/>
          <w:b/>
          <w:color w:val="000000"/>
          <w:shd w:val="clear" w:color="auto" w:fill="FFFFFF"/>
        </w:rPr>
        <w:t>zákona</w:t>
      </w:r>
      <w:proofErr w:type="spellEnd"/>
      <w:r w:rsidRPr="00305E34">
        <w:rPr>
          <w:rFonts w:ascii="Arial" w:hAnsi="Arial" w:cs="Arial"/>
          <w:b/>
          <w:color w:val="000000"/>
          <w:shd w:val="clear" w:color="auto" w:fill="FFFFFF"/>
        </w:rPr>
        <w:t xml:space="preserve"> o </w:t>
      </w:r>
      <w:proofErr w:type="spellStart"/>
      <w:r w:rsidRPr="00305E34">
        <w:rPr>
          <w:rFonts w:ascii="Arial" w:hAnsi="Arial" w:cs="Arial"/>
          <w:b/>
          <w:color w:val="000000"/>
          <w:shd w:val="clear" w:color="auto" w:fill="FFFFFF"/>
        </w:rPr>
        <w:t>rezervách</w:t>
      </w:r>
      <w:proofErr w:type="spellEnd"/>
      <w:r w:rsidRPr="00305E34">
        <w:rPr>
          <w:rFonts w:ascii="Arial" w:hAnsi="Arial" w:cs="Arial"/>
          <w:b/>
          <w:color w:val="000000"/>
          <w:shd w:val="clear" w:color="auto" w:fill="FFFFFF"/>
        </w:rPr>
        <w:t xml:space="preserve"> je </w:t>
      </w:r>
      <w:proofErr w:type="spellStart"/>
      <w:r w:rsidRPr="00305E34">
        <w:rPr>
          <w:rFonts w:ascii="Arial" w:hAnsi="Arial" w:cs="Arial"/>
          <w:b/>
          <w:color w:val="000000"/>
          <w:shd w:val="clear" w:color="auto" w:fill="FFFFFF"/>
        </w:rPr>
        <w:t>nutno</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vykládat</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tak</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že</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zahrnuje</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veškeré</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výnosy</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vzniklé</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na</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základě</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lastRenderedPageBreak/>
        <w:t>poskytnutého</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úvěru</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které</w:t>
      </w:r>
      <w:proofErr w:type="spellEnd"/>
      <w:r w:rsidRPr="00305E34">
        <w:rPr>
          <w:rFonts w:ascii="Arial" w:hAnsi="Arial" w:cs="Arial"/>
          <w:b/>
          <w:color w:val="000000"/>
          <w:shd w:val="clear" w:color="auto" w:fill="FFFFFF"/>
        </w:rPr>
        <w:t xml:space="preserve"> by bez existence </w:t>
      </w:r>
      <w:proofErr w:type="spellStart"/>
      <w:r w:rsidRPr="00305E34">
        <w:rPr>
          <w:rFonts w:ascii="Arial" w:hAnsi="Arial" w:cs="Arial"/>
          <w:b/>
          <w:color w:val="000000"/>
          <w:shd w:val="clear" w:color="auto" w:fill="FFFFFF"/>
        </w:rPr>
        <w:t>tohoto</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úvěru</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nebyly</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realizovány</w:t>
      </w:r>
      <w:proofErr w:type="spellEnd"/>
      <w:r w:rsidRPr="00305E34">
        <w:rPr>
          <w:rFonts w:ascii="Arial" w:hAnsi="Arial" w:cs="Arial"/>
          <w:b/>
          <w:color w:val="000000"/>
          <w:shd w:val="clear" w:color="auto" w:fill="FFFFFF"/>
        </w:rPr>
        <w:t xml:space="preserve">, </w:t>
      </w:r>
      <w:proofErr w:type="spellStart"/>
      <w:r w:rsidRPr="00305E34">
        <w:rPr>
          <w:rFonts w:ascii="Arial" w:hAnsi="Arial" w:cs="Arial"/>
          <w:b/>
          <w:color w:val="000000"/>
          <w:shd w:val="clear" w:color="auto" w:fill="FFFFFF"/>
        </w:rPr>
        <w:t>vč</w:t>
      </w:r>
      <w:proofErr w:type="spellEnd"/>
      <w:r w:rsidRPr="00305E34">
        <w:rPr>
          <w:rFonts w:ascii="Arial" w:hAnsi="Arial" w:cs="Arial"/>
          <w:b/>
          <w:color w:val="000000"/>
          <w:shd w:val="clear" w:color="auto" w:fill="FFFFFF"/>
        </w:rPr>
        <w:t>.</w:t>
      </w:r>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např</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výnosů</w:t>
      </w:r>
      <w:proofErr w:type="spellEnd"/>
      <w:r w:rsidRPr="00922624">
        <w:rPr>
          <w:rFonts w:ascii="Arial" w:hAnsi="Arial" w:cs="Arial"/>
          <w:b/>
          <w:color w:val="000000"/>
          <w:shd w:val="clear" w:color="auto" w:fill="FFFFFF"/>
        </w:rPr>
        <w:t xml:space="preserve"> ze </w:t>
      </w:r>
      <w:proofErr w:type="spellStart"/>
      <w:r w:rsidRPr="00922624">
        <w:rPr>
          <w:rFonts w:ascii="Arial" w:hAnsi="Arial" w:cs="Arial"/>
          <w:b/>
          <w:color w:val="000000"/>
          <w:shd w:val="clear" w:color="auto" w:fill="FFFFFF"/>
        </w:rPr>
        <w:t>zprostředkování</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pojištění</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schopnosti</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splácet</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poskytnutý</w:t>
      </w:r>
      <w:proofErr w:type="spellEnd"/>
      <w:r w:rsidRPr="00922624">
        <w:rPr>
          <w:rFonts w:ascii="Arial" w:hAnsi="Arial" w:cs="Arial"/>
          <w:b/>
          <w:color w:val="000000"/>
          <w:shd w:val="clear" w:color="auto" w:fill="FFFFFF"/>
        </w:rPr>
        <w:t xml:space="preserve"> </w:t>
      </w:r>
      <w:proofErr w:type="spellStart"/>
      <w:r w:rsidRPr="00922624">
        <w:rPr>
          <w:rFonts w:ascii="Arial" w:hAnsi="Arial" w:cs="Arial"/>
          <w:b/>
          <w:color w:val="000000"/>
          <w:shd w:val="clear" w:color="auto" w:fill="FFFFFF"/>
        </w:rPr>
        <w:t>úvěr</w:t>
      </w:r>
      <w:proofErr w:type="spellEnd"/>
      <w:r w:rsidRPr="00922624">
        <w:rPr>
          <w:rFonts w:ascii="Arial" w:hAnsi="Arial" w:cs="Arial"/>
          <w:b/>
          <w:color w:val="000000"/>
          <w:shd w:val="clear" w:color="auto" w:fill="FFFFFF"/>
        </w:rPr>
        <w:t xml:space="preserve">. </w:t>
      </w:r>
    </w:p>
    <w:p w14:paraId="581752F3" w14:textId="77777777" w:rsidR="005E4E00" w:rsidRDefault="005E4E00" w:rsidP="005E4E00"/>
    <w:p w14:paraId="11D6268C" w14:textId="77777777" w:rsidR="005E4E00" w:rsidRDefault="005E4E00" w:rsidP="005E4E00">
      <w:pPr>
        <w:rPr>
          <w:rFonts w:ascii="Arial" w:hAnsi="Arial" w:cs="Arial"/>
          <w:i/>
          <w:iCs/>
        </w:rPr>
      </w:pPr>
      <w:bookmarkStart w:id="0" w:name="_Hlk148100490"/>
    </w:p>
    <w:p w14:paraId="5F917C69" w14:textId="77777777" w:rsidR="005E4E00" w:rsidRPr="009A2DD5" w:rsidRDefault="005E4E00" w:rsidP="005E4E00">
      <w:pPr>
        <w:rPr>
          <w:rFonts w:ascii="Arial" w:hAnsi="Arial" w:cs="Arial"/>
          <w:b/>
          <w:bCs/>
          <w:i/>
          <w:iCs/>
          <w:highlight w:val="cyan"/>
          <w:u w:val="single"/>
        </w:rPr>
      </w:pPr>
      <w:proofErr w:type="spellStart"/>
      <w:r w:rsidRPr="009A2DD5">
        <w:rPr>
          <w:rFonts w:ascii="Arial" w:hAnsi="Arial" w:cs="Arial"/>
          <w:b/>
          <w:bCs/>
          <w:i/>
          <w:iCs/>
          <w:highlight w:val="cyan"/>
          <w:u w:val="single"/>
        </w:rPr>
        <w:t>Stanovisko</w:t>
      </w:r>
      <w:proofErr w:type="spellEnd"/>
      <w:r w:rsidRPr="009A2DD5">
        <w:rPr>
          <w:rFonts w:ascii="Arial" w:hAnsi="Arial" w:cs="Arial"/>
          <w:b/>
          <w:bCs/>
          <w:i/>
          <w:iCs/>
          <w:highlight w:val="cyan"/>
          <w:u w:val="single"/>
        </w:rPr>
        <w:t xml:space="preserve"> GFŘ:</w:t>
      </w:r>
    </w:p>
    <w:p w14:paraId="6B5EA0C8" w14:textId="77777777" w:rsidR="005E4E00" w:rsidRPr="009A2DD5" w:rsidRDefault="005E4E00" w:rsidP="005E4E00">
      <w:pPr>
        <w:rPr>
          <w:rFonts w:ascii="Arial" w:hAnsi="Arial" w:cs="Arial"/>
          <w:i/>
          <w:iCs/>
          <w:highlight w:val="cyan"/>
        </w:rPr>
      </w:pPr>
      <w:proofErr w:type="spellStart"/>
      <w:r w:rsidRPr="009A2DD5">
        <w:rPr>
          <w:rFonts w:ascii="Arial" w:hAnsi="Arial" w:cs="Arial"/>
          <w:i/>
          <w:iCs/>
          <w:highlight w:val="cyan"/>
        </w:rPr>
        <w:t>Nesouhlas</w:t>
      </w:r>
      <w:proofErr w:type="spellEnd"/>
      <w:r w:rsidRPr="009A2DD5">
        <w:rPr>
          <w:rFonts w:ascii="Arial" w:hAnsi="Arial" w:cs="Arial"/>
          <w:i/>
          <w:iCs/>
          <w:highlight w:val="cyan"/>
        </w:rPr>
        <w:t xml:space="preserve"> se </w:t>
      </w:r>
      <w:proofErr w:type="spellStart"/>
      <w:r w:rsidRPr="009A2DD5">
        <w:rPr>
          <w:rFonts w:ascii="Arial" w:hAnsi="Arial" w:cs="Arial"/>
          <w:i/>
          <w:iCs/>
          <w:highlight w:val="cyan"/>
        </w:rPr>
        <w:t>závěrem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předkladatele</w:t>
      </w:r>
      <w:proofErr w:type="spellEnd"/>
      <w:r w:rsidRPr="009A2DD5">
        <w:rPr>
          <w:rFonts w:ascii="Arial" w:hAnsi="Arial" w:cs="Arial"/>
          <w:i/>
          <w:iCs/>
          <w:highlight w:val="cyan"/>
        </w:rPr>
        <w:t>.</w:t>
      </w:r>
    </w:p>
    <w:p w14:paraId="284B144A" w14:textId="77777777" w:rsidR="005E4E00" w:rsidRPr="009A2DD5" w:rsidRDefault="005E4E00" w:rsidP="005E4E00">
      <w:pPr>
        <w:rPr>
          <w:rFonts w:ascii="Arial" w:hAnsi="Arial" w:cs="Arial"/>
          <w:i/>
          <w:iCs/>
          <w:highlight w:val="cyan"/>
        </w:rPr>
      </w:pPr>
    </w:p>
    <w:p w14:paraId="635629A1" w14:textId="77777777" w:rsidR="005E4E00" w:rsidRPr="009A2DD5" w:rsidRDefault="005E4E00" w:rsidP="005E4E00">
      <w:pPr>
        <w:jc w:val="both"/>
        <w:rPr>
          <w:rFonts w:ascii="Arial" w:hAnsi="Arial" w:cs="Arial"/>
          <w:i/>
          <w:iCs/>
          <w:highlight w:val="cyan"/>
        </w:rPr>
      </w:pPr>
      <w:bookmarkStart w:id="1" w:name="_Hlk148100409"/>
      <w:proofErr w:type="spellStart"/>
      <w:r w:rsidRPr="009A2DD5">
        <w:rPr>
          <w:rFonts w:ascii="Arial" w:hAnsi="Arial" w:cs="Arial"/>
          <w:i/>
          <w:iCs/>
          <w:highlight w:val="cyan"/>
        </w:rPr>
        <w:t>Dle</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názoru</w:t>
      </w:r>
      <w:proofErr w:type="spellEnd"/>
      <w:r w:rsidRPr="009A2DD5">
        <w:rPr>
          <w:rFonts w:ascii="Arial" w:hAnsi="Arial" w:cs="Arial"/>
          <w:i/>
          <w:iCs/>
          <w:highlight w:val="cyan"/>
        </w:rPr>
        <w:t xml:space="preserve"> GFŘ je </w:t>
      </w:r>
      <w:proofErr w:type="spellStart"/>
      <w:r>
        <w:rPr>
          <w:rFonts w:ascii="Arial" w:hAnsi="Arial" w:cs="Arial"/>
          <w:i/>
          <w:iCs/>
          <w:highlight w:val="cyan"/>
        </w:rPr>
        <w:t>třeba</w:t>
      </w:r>
      <w:proofErr w:type="spellEnd"/>
      <w:r>
        <w:rPr>
          <w:rFonts w:ascii="Arial" w:hAnsi="Arial" w:cs="Arial"/>
          <w:i/>
          <w:iCs/>
          <w:highlight w:val="cyan"/>
        </w:rPr>
        <w:t xml:space="preserve"> </w:t>
      </w:r>
      <w:proofErr w:type="spellStart"/>
      <w:r w:rsidRPr="009A2DD5">
        <w:rPr>
          <w:rFonts w:ascii="Arial" w:hAnsi="Arial" w:cs="Arial"/>
          <w:i/>
          <w:iCs/>
          <w:highlight w:val="cyan"/>
        </w:rPr>
        <w:t>výklad</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vztahovat</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ke</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smyslu</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účelu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celého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ustanovení</w:t>
      </w:r>
      <w:proofErr w:type="spellEnd"/>
      <w:r w:rsidRPr="009A2DD5">
        <w:rPr>
          <w:rFonts w:ascii="Arial" w:hAnsi="Arial" w:cs="Arial"/>
          <w:i/>
          <w:iCs/>
          <w:highlight w:val="cyan"/>
        </w:rPr>
        <w:t xml:space="preserve"> § 5a </w:t>
      </w:r>
      <w:proofErr w:type="spellStart"/>
      <w:r w:rsidRPr="009A2DD5">
        <w:rPr>
          <w:rFonts w:ascii="Arial" w:hAnsi="Arial" w:cs="Arial"/>
          <w:i/>
          <w:iCs/>
          <w:highlight w:val="cyan"/>
        </w:rPr>
        <w:t>ZoR</w:t>
      </w:r>
      <w:proofErr w:type="spellEnd"/>
      <w:r>
        <w:rPr>
          <w:rFonts w:ascii="Arial" w:hAnsi="Arial" w:cs="Arial"/>
          <w:i/>
          <w:iCs/>
          <w:highlight w:val="cyan"/>
        </w:rPr>
        <w:t xml:space="preserve">, </w:t>
      </w:r>
      <w:proofErr w:type="spellStart"/>
      <w:r w:rsidRPr="009A2DD5">
        <w:rPr>
          <w:rFonts w:ascii="Arial" w:hAnsi="Arial" w:cs="Arial"/>
          <w:i/>
          <w:iCs/>
          <w:highlight w:val="cyan"/>
        </w:rPr>
        <w:t>zejména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pak</w:t>
      </w:r>
      <w:proofErr w:type="spellEnd"/>
      <w:r w:rsidRPr="009A2DD5">
        <w:rPr>
          <w:rFonts w:ascii="Arial" w:hAnsi="Arial" w:cs="Arial"/>
          <w:i/>
          <w:iCs/>
          <w:highlight w:val="cyan"/>
        </w:rPr>
        <w:t xml:space="preserve"> k </w:t>
      </w:r>
      <w:proofErr w:type="spellStart"/>
      <w:r w:rsidRPr="009A2DD5">
        <w:rPr>
          <w:rFonts w:ascii="Arial" w:hAnsi="Arial" w:cs="Arial"/>
          <w:i/>
          <w:iCs/>
          <w:highlight w:val="cyan"/>
        </w:rPr>
        <w:t>provázanosti</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ustanovení</w:t>
      </w:r>
      <w:proofErr w:type="spellEnd"/>
      <w:r>
        <w:rPr>
          <w:rFonts w:ascii="Arial" w:hAnsi="Arial" w:cs="Arial"/>
          <w:i/>
          <w:iCs/>
          <w:highlight w:val="cyan"/>
        </w:rPr>
        <w:t xml:space="preserve"> </w:t>
      </w:r>
      <w:r w:rsidRPr="009A2DD5">
        <w:rPr>
          <w:rFonts w:ascii="Arial" w:hAnsi="Arial" w:cs="Arial"/>
          <w:i/>
          <w:iCs/>
          <w:highlight w:val="cyan"/>
        </w:rPr>
        <w:t xml:space="preserve">§ 5a </w:t>
      </w:r>
      <w:proofErr w:type="spellStart"/>
      <w:r w:rsidRPr="009A2DD5">
        <w:rPr>
          <w:rFonts w:ascii="Arial" w:hAnsi="Arial" w:cs="Arial"/>
          <w:i/>
          <w:iCs/>
          <w:highlight w:val="cyan"/>
        </w:rPr>
        <w:t>odst</w:t>
      </w:r>
      <w:proofErr w:type="spellEnd"/>
      <w:r w:rsidRPr="009A2DD5">
        <w:rPr>
          <w:rFonts w:ascii="Arial" w:hAnsi="Arial" w:cs="Arial"/>
          <w:i/>
          <w:iCs/>
          <w:highlight w:val="cyan"/>
        </w:rPr>
        <w:t xml:space="preserve">. </w:t>
      </w:r>
      <w:r>
        <w:rPr>
          <w:rFonts w:ascii="Arial" w:hAnsi="Arial" w:cs="Arial"/>
          <w:i/>
          <w:iCs/>
          <w:highlight w:val="cyan"/>
        </w:rPr>
        <w:t xml:space="preserve">1 </w:t>
      </w:r>
      <w:proofErr w:type="spellStart"/>
      <w:r w:rsidRPr="009A2DD5">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které</w:t>
      </w:r>
      <w:proofErr w:type="spellEnd"/>
      <w:r>
        <w:rPr>
          <w:rFonts w:ascii="Arial" w:hAnsi="Arial" w:cs="Arial"/>
          <w:i/>
          <w:iCs/>
          <w:highlight w:val="cyan"/>
        </w:rPr>
        <w:t xml:space="preserve"> </w:t>
      </w:r>
      <w:proofErr w:type="spellStart"/>
      <w:r>
        <w:rPr>
          <w:rFonts w:ascii="Arial" w:hAnsi="Arial" w:cs="Arial"/>
          <w:i/>
          <w:iCs/>
          <w:highlight w:val="cyan"/>
        </w:rPr>
        <w:t>vymezuje</w:t>
      </w:r>
      <w:proofErr w:type="spellEnd"/>
      <w:r>
        <w:rPr>
          <w:rFonts w:ascii="Arial" w:hAnsi="Arial" w:cs="Arial"/>
          <w:i/>
          <w:iCs/>
          <w:highlight w:val="cyan"/>
        </w:rPr>
        <w:t xml:space="preserve"> </w:t>
      </w:r>
      <w:proofErr w:type="spellStart"/>
      <w:r w:rsidRPr="00492FBF">
        <w:rPr>
          <w:rFonts w:ascii="Arial" w:hAnsi="Arial" w:cs="Arial"/>
          <w:i/>
          <w:iCs/>
          <w:highlight w:val="cyan"/>
        </w:rPr>
        <w:t>pohledávky</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ke</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kter</w:t>
      </w:r>
      <w:r>
        <w:rPr>
          <w:rFonts w:ascii="Arial" w:hAnsi="Arial" w:cs="Arial"/>
          <w:i/>
          <w:iCs/>
          <w:highlight w:val="cyan"/>
        </w:rPr>
        <w:t>ým</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lze</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vytvářet</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opravné</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položky</w:t>
      </w:r>
      <w:proofErr w:type="spellEnd"/>
      <w:r>
        <w:rPr>
          <w:rFonts w:ascii="Arial" w:hAnsi="Arial" w:cs="Arial"/>
          <w:i/>
          <w:iCs/>
          <w:highlight w:val="cyan"/>
        </w:rPr>
        <w:t xml:space="preserve">, a </w:t>
      </w:r>
      <w:proofErr w:type="spellStart"/>
      <w:r>
        <w:rPr>
          <w:rFonts w:ascii="Arial" w:hAnsi="Arial" w:cs="Arial"/>
          <w:i/>
          <w:iCs/>
          <w:highlight w:val="cyan"/>
        </w:rPr>
        <w:t>ustanovení</w:t>
      </w:r>
      <w:proofErr w:type="spellEnd"/>
      <w:r>
        <w:rPr>
          <w:rFonts w:ascii="Arial" w:hAnsi="Arial" w:cs="Arial"/>
          <w:i/>
          <w:iCs/>
          <w:highlight w:val="cyan"/>
        </w:rPr>
        <w:t xml:space="preserve"> </w:t>
      </w:r>
      <w:r w:rsidRPr="009A2DD5">
        <w:rPr>
          <w:rFonts w:ascii="Arial" w:hAnsi="Arial" w:cs="Arial"/>
          <w:i/>
          <w:iCs/>
          <w:highlight w:val="cyan"/>
        </w:rPr>
        <w:t xml:space="preserve">§ 5a </w:t>
      </w:r>
      <w:proofErr w:type="spellStart"/>
      <w:r w:rsidRPr="009A2DD5">
        <w:rPr>
          <w:rFonts w:ascii="Arial" w:hAnsi="Arial" w:cs="Arial"/>
          <w:i/>
          <w:iCs/>
          <w:highlight w:val="cyan"/>
        </w:rPr>
        <w:t>odst</w:t>
      </w:r>
      <w:proofErr w:type="spellEnd"/>
      <w:r w:rsidRPr="009A2DD5">
        <w:rPr>
          <w:rFonts w:ascii="Arial" w:hAnsi="Arial" w:cs="Arial"/>
          <w:i/>
          <w:iCs/>
          <w:highlight w:val="cyan"/>
        </w:rPr>
        <w:t xml:space="preserve">. </w:t>
      </w:r>
      <w:r>
        <w:rPr>
          <w:rFonts w:ascii="Arial" w:hAnsi="Arial" w:cs="Arial"/>
          <w:i/>
          <w:iCs/>
          <w:highlight w:val="cyan"/>
        </w:rPr>
        <w:t>2</w:t>
      </w:r>
      <w:r w:rsidRPr="009A2DD5">
        <w:rPr>
          <w:rFonts w:ascii="Arial" w:hAnsi="Arial" w:cs="Arial"/>
          <w:i/>
          <w:iCs/>
          <w:highlight w:val="cyan"/>
        </w:rPr>
        <w:t xml:space="preserve">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které</w:t>
      </w:r>
      <w:proofErr w:type="spellEnd"/>
      <w:r>
        <w:rPr>
          <w:rFonts w:ascii="Arial" w:hAnsi="Arial" w:cs="Arial"/>
          <w:i/>
          <w:iCs/>
          <w:highlight w:val="cyan"/>
        </w:rPr>
        <w:t xml:space="preserve"> pro </w:t>
      </w:r>
      <w:proofErr w:type="spellStart"/>
      <w:r>
        <w:rPr>
          <w:rFonts w:ascii="Arial" w:hAnsi="Arial" w:cs="Arial"/>
          <w:i/>
          <w:iCs/>
          <w:highlight w:val="cyan"/>
        </w:rPr>
        <w:t>účely</w:t>
      </w:r>
      <w:proofErr w:type="spellEnd"/>
      <w:r>
        <w:rPr>
          <w:rFonts w:ascii="Arial" w:hAnsi="Arial" w:cs="Arial"/>
          <w:i/>
          <w:iCs/>
          <w:highlight w:val="cyan"/>
        </w:rPr>
        <w:t xml:space="preserve"> </w:t>
      </w:r>
      <w:proofErr w:type="spellStart"/>
      <w:r>
        <w:rPr>
          <w:rFonts w:ascii="Arial" w:hAnsi="Arial" w:cs="Arial"/>
          <w:i/>
          <w:iCs/>
          <w:highlight w:val="cyan"/>
        </w:rPr>
        <w:t>aplikace</w:t>
      </w:r>
      <w:proofErr w:type="spellEnd"/>
      <w:r>
        <w:rPr>
          <w:rFonts w:ascii="Arial" w:hAnsi="Arial" w:cs="Arial"/>
          <w:i/>
          <w:iCs/>
          <w:highlight w:val="cyan"/>
        </w:rPr>
        <w:t xml:space="preserve"> § 5a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vymezuje</w:t>
      </w:r>
      <w:proofErr w:type="spellEnd"/>
      <w:r>
        <w:rPr>
          <w:rFonts w:ascii="Arial" w:hAnsi="Arial" w:cs="Arial"/>
          <w:i/>
          <w:iCs/>
          <w:highlight w:val="cyan"/>
        </w:rPr>
        <w:t xml:space="preserve"> </w:t>
      </w:r>
      <w:proofErr w:type="spellStart"/>
      <w:r>
        <w:rPr>
          <w:rFonts w:ascii="Arial" w:hAnsi="Arial" w:cs="Arial"/>
          <w:i/>
          <w:iCs/>
          <w:highlight w:val="cyan"/>
        </w:rPr>
        <w:t>ostatní</w:t>
      </w:r>
      <w:proofErr w:type="spellEnd"/>
      <w:r>
        <w:rPr>
          <w:rFonts w:ascii="Arial" w:hAnsi="Arial" w:cs="Arial"/>
          <w:i/>
          <w:iCs/>
          <w:highlight w:val="cyan"/>
        </w:rPr>
        <w:t xml:space="preserve"> </w:t>
      </w:r>
      <w:proofErr w:type="spellStart"/>
      <w:r>
        <w:rPr>
          <w:rFonts w:ascii="Arial" w:hAnsi="Arial" w:cs="Arial"/>
          <w:i/>
          <w:iCs/>
          <w:highlight w:val="cyan"/>
        </w:rPr>
        <w:t>finanční</w:t>
      </w:r>
      <w:proofErr w:type="spellEnd"/>
      <w:r>
        <w:rPr>
          <w:rFonts w:ascii="Arial" w:hAnsi="Arial" w:cs="Arial"/>
          <w:i/>
          <w:iCs/>
          <w:highlight w:val="cyan"/>
        </w:rPr>
        <w:t xml:space="preserve"> </w:t>
      </w:r>
      <w:proofErr w:type="spellStart"/>
      <w:r>
        <w:rPr>
          <w:rFonts w:ascii="Arial" w:hAnsi="Arial" w:cs="Arial"/>
          <w:i/>
          <w:iCs/>
          <w:highlight w:val="cyan"/>
        </w:rPr>
        <w:t>instituce</w:t>
      </w:r>
      <w:proofErr w:type="spellEnd"/>
      <w:r>
        <w:rPr>
          <w:rFonts w:ascii="Arial" w:hAnsi="Arial" w:cs="Arial"/>
          <w:i/>
          <w:iCs/>
          <w:highlight w:val="cyan"/>
        </w:rPr>
        <w:t xml:space="preserve">, </w:t>
      </w:r>
      <w:proofErr w:type="spellStart"/>
      <w:r>
        <w:rPr>
          <w:rFonts w:ascii="Arial" w:hAnsi="Arial" w:cs="Arial"/>
          <w:i/>
          <w:iCs/>
          <w:highlight w:val="cyan"/>
        </w:rPr>
        <w:t>tedy</w:t>
      </w:r>
      <w:proofErr w:type="spellEnd"/>
      <w:r>
        <w:rPr>
          <w:rFonts w:ascii="Arial" w:hAnsi="Arial" w:cs="Arial"/>
          <w:i/>
          <w:iCs/>
          <w:highlight w:val="cyan"/>
        </w:rPr>
        <w:t xml:space="preserve"> </w:t>
      </w:r>
      <w:proofErr w:type="spellStart"/>
      <w:r>
        <w:rPr>
          <w:rFonts w:ascii="Arial" w:hAnsi="Arial" w:cs="Arial"/>
          <w:i/>
          <w:iCs/>
          <w:highlight w:val="cyan"/>
        </w:rPr>
        <w:t>subjekty</w:t>
      </w:r>
      <w:proofErr w:type="spellEnd"/>
      <w:r>
        <w:rPr>
          <w:rFonts w:ascii="Arial" w:hAnsi="Arial" w:cs="Arial"/>
          <w:i/>
          <w:iCs/>
          <w:highlight w:val="cyan"/>
        </w:rPr>
        <w:t xml:space="preserve">, </w:t>
      </w:r>
      <w:proofErr w:type="spellStart"/>
      <w:r>
        <w:rPr>
          <w:rFonts w:ascii="Arial" w:hAnsi="Arial" w:cs="Arial"/>
          <w:i/>
          <w:iCs/>
          <w:highlight w:val="cyan"/>
        </w:rPr>
        <w:t>které</w:t>
      </w:r>
      <w:proofErr w:type="spellEnd"/>
      <w:r>
        <w:rPr>
          <w:rFonts w:ascii="Arial" w:hAnsi="Arial" w:cs="Arial"/>
          <w:i/>
          <w:iCs/>
          <w:highlight w:val="cyan"/>
        </w:rPr>
        <w:t xml:space="preserve"> </w:t>
      </w:r>
      <w:proofErr w:type="spellStart"/>
      <w:r>
        <w:rPr>
          <w:rFonts w:ascii="Arial" w:hAnsi="Arial" w:cs="Arial"/>
          <w:i/>
          <w:iCs/>
          <w:highlight w:val="cyan"/>
        </w:rPr>
        <w:t>mohou</w:t>
      </w:r>
      <w:proofErr w:type="spellEnd"/>
      <w:r>
        <w:rPr>
          <w:rFonts w:ascii="Arial" w:hAnsi="Arial" w:cs="Arial"/>
          <w:i/>
          <w:iCs/>
          <w:highlight w:val="cyan"/>
        </w:rPr>
        <w:t xml:space="preserve"> </w:t>
      </w:r>
      <w:proofErr w:type="spellStart"/>
      <w:r>
        <w:rPr>
          <w:rFonts w:ascii="Arial" w:hAnsi="Arial" w:cs="Arial"/>
          <w:i/>
          <w:iCs/>
          <w:highlight w:val="cyan"/>
        </w:rPr>
        <w:t>opravné</w:t>
      </w:r>
      <w:proofErr w:type="spellEnd"/>
      <w:r>
        <w:rPr>
          <w:rFonts w:ascii="Arial" w:hAnsi="Arial" w:cs="Arial"/>
          <w:i/>
          <w:iCs/>
          <w:highlight w:val="cyan"/>
        </w:rPr>
        <w:t xml:space="preserve"> </w:t>
      </w:r>
      <w:proofErr w:type="spellStart"/>
      <w:r>
        <w:rPr>
          <w:rFonts w:ascii="Arial" w:hAnsi="Arial" w:cs="Arial"/>
          <w:i/>
          <w:iCs/>
          <w:highlight w:val="cyan"/>
        </w:rPr>
        <w:t>položky</w:t>
      </w:r>
      <w:proofErr w:type="spellEnd"/>
      <w:r>
        <w:rPr>
          <w:rFonts w:ascii="Arial" w:hAnsi="Arial" w:cs="Arial"/>
          <w:i/>
          <w:iCs/>
          <w:highlight w:val="cyan"/>
        </w:rPr>
        <w:t xml:space="preserve"> </w:t>
      </w:r>
      <w:proofErr w:type="spellStart"/>
      <w:r>
        <w:rPr>
          <w:rFonts w:ascii="Arial" w:hAnsi="Arial" w:cs="Arial"/>
          <w:i/>
          <w:iCs/>
          <w:highlight w:val="cyan"/>
        </w:rPr>
        <w:t>vytvářet</w:t>
      </w:r>
      <w:proofErr w:type="spellEnd"/>
      <w:r>
        <w:rPr>
          <w:rFonts w:ascii="Arial" w:hAnsi="Arial" w:cs="Arial"/>
          <w:i/>
          <w:iCs/>
          <w:highlight w:val="cyan"/>
        </w:rPr>
        <w:t>.</w:t>
      </w:r>
    </w:p>
    <w:bookmarkEnd w:id="1"/>
    <w:p w14:paraId="7B880204" w14:textId="77777777" w:rsidR="005E4E00" w:rsidRDefault="005E4E00" w:rsidP="005E4E00">
      <w:pPr>
        <w:rPr>
          <w:rFonts w:ascii="Arial" w:hAnsi="Arial" w:cs="Arial"/>
          <w:i/>
          <w:iCs/>
          <w:highlight w:val="cyan"/>
        </w:rPr>
      </w:pPr>
    </w:p>
    <w:p w14:paraId="2BC24F50" w14:textId="77777777" w:rsidR="005E4E00" w:rsidRPr="009D12D0" w:rsidRDefault="005E4E00" w:rsidP="005E4E00">
      <w:pPr>
        <w:jc w:val="both"/>
        <w:rPr>
          <w:rFonts w:ascii="Arial" w:hAnsi="Arial" w:cs="Arial"/>
          <w:b/>
          <w:bCs/>
          <w:i/>
          <w:iCs/>
          <w:highlight w:val="cyan"/>
        </w:rPr>
      </w:pPr>
      <w:r w:rsidRPr="009D12D0">
        <w:rPr>
          <w:rFonts w:ascii="Arial" w:hAnsi="Arial" w:cs="Arial"/>
          <w:b/>
          <w:bCs/>
          <w:i/>
          <w:iCs/>
          <w:highlight w:val="cyan"/>
        </w:rPr>
        <w:t xml:space="preserve">1. </w:t>
      </w:r>
      <w:proofErr w:type="spellStart"/>
      <w:r w:rsidRPr="009D12D0">
        <w:rPr>
          <w:rFonts w:ascii="Arial" w:hAnsi="Arial" w:cs="Arial"/>
          <w:b/>
          <w:bCs/>
          <w:i/>
          <w:iCs/>
          <w:highlight w:val="cyan"/>
        </w:rPr>
        <w:t>jazykový</w:t>
      </w:r>
      <w:proofErr w:type="spellEnd"/>
      <w:r w:rsidRPr="009D12D0">
        <w:rPr>
          <w:rFonts w:ascii="Arial" w:hAnsi="Arial" w:cs="Arial"/>
          <w:b/>
          <w:bCs/>
          <w:i/>
          <w:iCs/>
          <w:highlight w:val="cyan"/>
        </w:rPr>
        <w:t xml:space="preserve"> </w:t>
      </w:r>
      <w:proofErr w:type="spellStart"/>
      <w:r w:rsidRPr="009D12D0">
        <w:rPr>
          <w:rFonts w:ascii="Arial" w:hAnsi="Arial" w:cs="Arial"/>
          <w:b/>
          <w:bCs/>
          <w:i/>
          <w:iCs/>
          <w:highlight w:val="cyan"/>
        </w:rPr>
        <w:t>výklad</w:t>
      </w:r>
      <w:proofErr w:type="spellEnd"/>
    </w:p>
    <w:p w14:paraId="58696D47" w14:textId="77777777" w:rsidR="005E4E00" w:rsidRDefault="005E4E00" w:rsidP="005E4E00">
      <w:pPr>
        <w:jc w:val="both"/>
        <w:rPr>
          <w:rFonts w:ascii="Arial" w:hAnsi="Arial" w:cs="Arial"/>
          <w:i/>
          <w:iCs/>
          <w:highlight w:val="cyan"/>
        </w:rPr>
      </w:pPr>
    </w:p>
    <w:p w14:paraId="5F9225FE" w14:textId="77777777" w:rsidR="005E4E00" w:rsidRDefault="005E4E00" w:rsidP="005E4E00">
      <w:pPr>
        <w:jc w:val="both"/>
        <w:rPr>
          <w:rFonts w:ascii="Arial" w:hAnsi="Arial" w:cs="Arial"/>
          <w:i/>
          <w:iCs/>
          <w:highlight w:val="cyan"/>
        </w:rPr>
      </w:pPr>
      <w:proofErr w:type="spellStart"/>
      <w:r>
        <w:rPr>
          <w:rFonts w:ascii="Arial" w:hAnsi="Arial" w:cs="Arial"/>
          <w:i/>
          <w:iCs/>
          <w:highlight w:val="cyan"/>
        </w:rPr>
        <w:t>Zákonná</w:t>
      </w:r>
      <w:proofErr w:type="spellEnd"/>
      <w:r>
        <w:rPr>
          <w:rFonts w:ascii="Arial" w:hAnsi="Arial" w:cs="Arial"/>
          <w:i/>
          <w:iCs/>
          <w:highlight w:val="cyan"/>
        </w:rPr>
        <w:t xml:space="preserve"> </w:t>
      </w:r>
      <w:proofErr w:type="spellStart"/>
      <w:r>
        <w:rPr>
          <w:rFonts w:ascii="Arial" w:hAnsi="Arial" w:cs="Arial"/>
          <w:i/>
          <w:iCs/>
          <w:highlight w:val="cyan"/>
        </w:rPr>
        <w:t>podmínka</w:t>
      </w:r>
      <w:proofErr w:type="spellEnd"/>
      <w:r>
        <w:rPr>
          <w:rFonts w:ascii="Arial" w:hAnsi="Arial" w:cs="Arial"/>
          <w:i/>
          <w:iCs/>
          <w:highlight w:val="cyan"/>
        </w:rPr>
        <w:t xml:space="preserve"> v § 5a </w:t>
      </w:r>
      <w:proofErr w:type="spellStart"/>
      <w:r>
        <w:rPr>
          <w:rFonts w:ascii="Arial" w:hAnsi="Arial" w:cs="Arial"/>
          <w:i/>
          <w:iCs/>
          <w:highlight w:val="cyan"/>
        </w:rPr>
        <w:t>odst</w:t>
      </w:r>
      <w:proofErr w:type="spellEnd"/>
      <w:r>
        <w:rPr>
          <w:rFonts w:ascii="Arial" w:hAnsi="Arial" w:cs="Arial"/>
          <w:i/>
          <w:iCs/>
          <w:highlight w:val="cyan"/>
        </w:rPr>
        <w:t xml:space="preserve">. 2 </w:t>
      </w:r>
      <w:proofErr w:type="spellStart"/>
      <w:r>
        <w:rPr>
          <w:rFonts w:ascii="Arial" w:hAnsi="Arial" w:cs="Arial"/>
          <w:i/>
          <w:iCs/>
          <w:highlight w:val="cyan"/>
        </w:rPr>
        <w:t>písm</w:t>
      </w:r>
      <w:proofErr w:type="spellEnd"/>
      <w:r>
        <w:rPr>
          <w:rFonts w:ascii="Arial" w:hAnsi="Arial" w:cs="Arial"/>
          <w:i/>
          <w:iCs/>
          <w:highlight w:val="cyan"/>
        </w:rPr>
        <w:t xml:space="preserve">. b) </w:t>
      </w:r>
      <w:proofErr w:type="spellStart"/>
      <w:r>
        <w:rPr>
          <w:rFonts w:ascii="Arial" w:hAnsi="Arial" w:cs="Arial"/>
          <w:i/>
          <w:iCs/>
          <w:highlight w:val="cyan"/>
        </w:rPr>
        <w:t>ZoR</w:t>
      </w:r>
      <w:proofErr w:type="spellEnd"/>
      <w:r>
        <w:rPr>
          <w:rFonts w:ascii="Arial" w:hAnsi="Arial" w:cs="Arial"/>
          <w:i/>
          <w:iCs/>
          <w:highlight w:val="cyan"/>
        </w:rPr>
        <w:t xml:space="preserve"> je </w:t>
      </w:r>
      <w:proofErr w:type="spellStart"/>
      <w:r>
        <w:rPr>
          <w:rFonts w:ascii="Arial" w:hAnsi="Arial" w:cs="Arial"/>
          <w:i/>
          <w:iCs/>
          <w:highlight w:val="cyan"/>
        </w:rPr>
        <w:t>formulována</w:t>
      </w:r>
      <w:proofErr w:type="spellEnd"/>
      <w:r>
        <w:rPr>
          <w:rFonts w:ascii="Arial" w:hAnsi="Arial" w:cs="Arial"/>
          <w:i/>
          <w:iCs/>
          <w:highlight w:val="cyan"/>
        </w:rPr>
        <w:t xml:space="preserve"> </w:t>
      </w:r>
      <w:proofErr w:type="spellStart"/>
      <w:r>
        <w:rPr>
          <w:rFonts w:ascii="Arial" w:hAnsi="Arial" w:cs="Arial"/>
          <w:i/>
          <w:iCs/>
          <w:highlight w:val="cyan"/>
        </w:rPr>
        <w:t>následovně</w:t>
      </w:r>
      <w:proofErr w:type="spellEnd"/>
    </w:p>
    <w:p w14:paraId="04C85C04" w14:textId="77777777" w:rsidR="005E4E00" w:rsidRDefault="005E4E00" w:rsidP="005E4E00">
      <w:pPr>
        <w:jc w:val="both"/>
        <w:rPr>
          <w:rFonts w:ascii="Arial" w:hAnsi="Arial" w:cs="Arial"/>
          <w:i/>
          <w:iCs/>
          <w:highlight w:val="cyan"/>
        </w:rPr>
      </w:pPr>
    </w:p>
    <w:p w14:paraId="157EB7A8" w14:textId="4404D94F" w:rsidR="005E4E00" w:rsidRDefault="005E4E00" w:rsidP="005E4E00">
      <w:pPr>
        <w:ind w:left="567"/>
        <w:jc w:val="both"/>
        <w:rPr>
          <w:rFonts w:ascii="Arial" w:hAnsi="Arial" w:cs="Arial"/>
          <w:i/>
          <w:iCs/>
          <w:highlight w:val="cyan"/>
        </w:rPr>
      </w:pPr>
      <w:r w:rsidRPr="005D313A">
        <w:rPr>
          <w:rFonts w:ascii="Arial" w:hAnsi="Arial" w:cs="Arial"/>
          <w:i/>
          <w:iCs/>
          <w:highlight w:val="cyan"/>
        </w:rPr>
        <w:t xml:space="preserve">„b) </w:t>
      </w:r>
      <w:proofErr w:type="spellStart"/>
      <w:r w:rsidRPr="005D313A">
        <w:rPr>
          <w:rFonts w:ascii="Arial" w:hAnsi="Arial" w:cs="Arial"/>
          <w:i/>
          <w:iCs/>
          <w:highlight w:val="cyan"/>
        </w:rPr>
        <w:t>výnosy</w:t>
      </w:r>
      <w:proofErr w:type="spellEnd"/>
      <w:r w:rsidRPr="005D313A">
        <w:rPr>
          <w:rFonts w:ascii="Arial" w:hAnsi="Arial" w:cs="Arial"/>
          <w:i/>
          <w:iCs/>
          <w:highlight w:val="cyan"/>
        </w:rPr>
        <w:t xml:space="preserve">, </w:t>
      </w:r>
      <w:proofErr w:type="spellStart"/>
      <w:r w:rsidRPr="005D313A">
        <w:rPr>
          <w:rFonts w:ascii="Arial" w:hAnsi="Arial" w:cs="Arial"/>
          <w:i/>
          <w:iCs/>
          <w:highlight w:val="cyan"/>
        </w:rPr>
        <w:t>včetně</w:t>
      </w:r>
      <w:proofErr w:type="spellEnd"/>
      <w:r w:rsidRPr="005D313A">
        <w:rPr>
          <w:rFonts w:ascii="Arial" w:hAnsi="Arial" w:cs="Arial"/>
          <w:i/>
          <w:iCs/>
          <w:highlight w:val="cyan"/>
        </w:rPr>
        <w:t xml:space="preserve"> </w:t>
      </w:r>
      <w:proofErr w:type="spellStart"/>
      <w:r w:rsidRPr="005D313A">
        <w:rPr>
          <w:rFonts w:ascii="Arial" w:hAnsi="Arial" w:cs="Arial"/>
          <w:i/>
          <w:iCs/>
          <w:highlight w:val="cyan"/>
        </w:rPr>
        <w:t>úroků</w:t>
      </w:r>
      <w:proofErr w:type="spellEnd"/>
      <w:r w:rsidRPr="005D313A">
        <w:rPr>
          <w:rFonts w:ascii="Arial" w:hAnsi="Arial" w:cs="Arial"/>
          <w:i/>
          <w:iCs/>
          <w:highlight w:val="cyan"/>
        </w:rPr>
        <w:t xml:space="preserve"> z </w:t>
      </w:r>
      <w:proofErr w:type="spellStart"/>
      <w:r w:rsidRPr="005D313A">
        <w:rPr>
          <w:rFonts w:ascii="Arial" w:hAnsi="Arial" w:cs="Arial"/>
          <w:i/>
          <w:iCs/>
          <w:highlight w:val="cyan"/>
        </w:rPr>
        <w:t>prodlení</w:t>
      </w:r>
      <w:proofErr w:type="spellEnd"/>
      <w:r w:rsidRPr="005D313A">
        <w:rPr>
          <w:rFonts w:ascii="Arial" w:hAnsi="Arial" w:cs="Arial"/>
          <w:i/>
          <w:iCs/>
          <w:highlight w:val="cyan"/>
        </w:rPr>
        <w:t xml:space="preserve">, </w:t>
      </w:r>
      <w:r w:rsidRPr="008C09F1">
        <w:rPr>
          <w:rFonts w:ascii="Arial" w:hAnsi="Arial" w:cs="Arial"/>
          <w:i/>
          <w:iCs/>
          <w:highlight w:val="cyan"/>
          <w:u w:val="single"/>
        </w:rPr>
        <w:t xml:space="preserve">z </w:t>
      </w:r>
      <w:proofErr w:type="spellStart"/>
      <w:r w:rsidRPr="008C09F1">
        <w:rPr>
          <w:rFonts w:ascii="Arial" w:hAnsi="Arial" w:cs="Arial"/>
          <w:i/>
          <w:iCs/>
          <w:highlight w:val="cyan"/>
          <w:u w:val="single"/>
        </w:rPr>
        <w:t>poskytnutých</w:t>
      </w:r>
      <w:proofErr w:type="spellEnd"/>
      <w:r w:rsidRPr="008C09F1">
        <w:rPr>
          <w:rFonts w:ascii="Arial" w:hAnsi="Arial" w:cs="Arial"/>
          <w:i/>
          <w:iCs/>
          <w:highlight w:val="cyan"/>
          <w:u w:val="single"/>
        </w:rPr>
        <w:t xml:space="preserve"> </w:t>
      </w:r>
      <w:proofErr w:type="spellStart"/>
      <w:r w:rsidRPr="008C09F1">
        <w:rPr>
          <w:rFonts w:ascii="Arial" w:hAnsi="Arial" w:cs="Arial"/>
          <w:i/>
          <w:iCs/>
          <w:highlight w:val="cyan"/>
          <w:u w:val="single"/>
        </w:rPr>
        <w:t>úvěrů</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podle</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odstavce</w:t>
      </w:r>
      <w:proofErr w:type="spellEnd"/>
      <w:r w:rsidRPr="008C09F1">
        <w:rPr>
          <w:rFonts w:ascii="Arial" w:hAnsi="Arial" w:cs="Arial"/>
          <w:i/>
          <w:iCs/>
          <w:highlight w:val="cyan"/>
        </w:rPr>
        <w:t xml:space="preserve"> 1 u</w:t>
      </w:r>
      <w:r>
        <w:rPr>
          <w:rFonts w:ascii="Arial" w:hAnsi="Arial" w:cs="Arial"/>
          <w:i/>
          <w:iCs/>
          <w:highlight w:val="cyan"/>
        </w:rPr>
        <w:t> </w:t>
      </w:r>
      <w:proofErr w:type="spellStart"/>
      <w:r w:rsidRPr="008C09F1">
        <w:rPr>
          <w:rFonts w:ascii="Arial" w:hAnsi="Arial" w:cs="Arial"/>
          <w:i/>
          <w:iCs/>
          <w:highlight w:val="cyan"/>
        </w:rPr>
        <w:t>nich</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dosáhnou</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alespoň</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jedné</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poloviny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celkových</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výnosů</w:t>
      </w:r>
      <w:proofErr w:type="spellEnd"/>
      <w:r w:rsidRPr="008C09F1">
        <w:rPr>
          <w:rFonts w:ascii="Arial" w:hAnsi="Arial" w:cs="Arial"/>
          <w:i/>
          <w:iCs/>
          <w:highlight w:val="cyan"/>
        </w:rPr>
        <w:t xml:space="preserve"> v</w:t>
      </w:r>
      <w:r>
        <w:rPr>
          <w:rFonts w:ascii="Arial" w:hAnsi="Arial" w:cs="Arial"/>
          <w:i/>
          <w:iCs/>
          <w:highlight w:val="cyan"/>
        </w:rPr>
        <w:t> </w:t>
      </w:r>
      <w:proofErr w:type="spellStart"/>
      <w:r w:rsidRPr="008C09F1">
        <w:rPr>
          <w:rFonts w:ascii="Arial" w:hAnsi="Arial" w:cs="Arial"/>
          <w:i/>
          <w:iCs/>
          <w:highlight w:val="cyan"/>
        </w:rPr>
        <w:t>příslušném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zdaňovacím</w:t>
      </w:r>
      <w:proofErr w:type="spellEnd"/>
      <w:r w:rsidRPr="008C09F1">
        <w:rPr>
          <w:rFonts w:ascii="Arial" w:hAnsi="Arial" w:cs="Arial"/>
          <w:i/>
          <w:iCs/>
          <w:highlight w:val="cyan"/>
        </w:rPr>
        <w:t xml:space="preserve"> </w:t>
      </w:r>
      <w:proofErr w:type="spellStart"/>
      <w:proofErr w:type="gramStart"/>
      <w:r w:rsidRPr="008C09F1">
        <w:rPr>
          <w:rFonts w:ascii="Arial" w:hAnsi="Arial" w:cs="Arial"/>
          <w:i/>
          <w:iCs/>
          <w:highlight w:val="cyan"/>
        </w:rPr>
        <w:t>období</w:t>
      </w:r>
      <w:proofErr w:type="spellEnd"/>
      <w:r w:rsidRPr="008C09F1">
        <w:rPr>
          <w:rFonts w:ascii="Arial" w:hAnsi="Arial" w:cs="Arial"/>
          <w:i/>
          <w:iCs/>
          <w:highlight w:val="cyan"/>
        </w:rPr>
        <w:t>,</w:t>
      </w:r>
      <w:r>
        <w:rPr>
          <w:rFonts w:ascii="Arial" w:hAnsi="Arial" w:cs="Arial"/>
          <w:i/>
          <w:iCs/>
          <w:highlight w:val="cyan"/>
        </w:rPr>
        <w:t>“</w:t>
      </w:r>
      <w:proofErr w:type="gramEnd"/>
      <w:r>
        <w:rPr>
          <w:rFonts w:ascii="Arial" w:hAnsi="Arial" w:cs="Arial"/>
          <w:i/>
          <w:iCs/>
          <w:highlight w:val="cyan"/>
        </w:rPr>
        <w:t>.</w:t>
      </w:r>
    </w:p>
    <w:p w14:paraId="39587655" w14:textId="77777777" w:rsidR="005E4E00" w:rsidRDefault="005E4E00" w:rsidP="005E4E00">
      <w:pPr>
        <w:jc w:val="both"/>
        <w:rPr>
          <w:rFonts w:ascii="Arial" w:hAnsi="Arial" w:cs="Arial"/>
          <w:i/>
          <w:iCs/>
          <w:highlight w:val="cyan"/>
        </w:rPr>
      </w:pPr>
    </w:p>
    <w:p w14:paraId="11C06D9A" w14:textId="77777777" w:rsidR="005E4E00" w:rsidRPr="008C09F1" w:rsidRDefault="005E4E00" w:rsidP="005E4E00">
      <w:pPr>
        <w:jc w:val="both"/>
        <w:rPr>
          <w:rFonts w:ascii="Arial" w:hAnsi="Arial" w:cs="Arial"/>
          <w:i/>
          <w:iCs/>
          <w:highlight w:val="cyan"/>
        </w:rPr>
      </w:pPr>
      <w:proofErr w:type="spellStart"/>
      <w:r>
        <w:rPr>
          <w:rFonts w:ascii="Arial" w:hAnsi="Arial" w:cs="Arial"/>
          <w:i/>
          <w:iCs/>
          <w:highlight w:val="cyan"/>
        </w:rPr>
        <w:t>Použití</w:t>
      </w:r>
      <w:proofErr w:type="spellEnd"/>
      <w:r>
        <w:rPr>
          <w:rFonts w:ascii="Arial" w:hAnsi="Arial" w:cs="Arial"/>
          <w:i/>
          <w:iCs/>
          <w:highlight w:val="cyan"/>
        </w:rPr>
        <w:t xml:space="preserve"> </w:t>
      </w:r>
      <w:proofErr w:type="spellStart"/>
      <w:r>
        <w:rPr>
          <w:rFonts w:ascii="Arial" w:hAnsi="Arial" w:cs="Arial"/>
          <w:i/>
          <w:iCs/>
          <w:highlight w:val="cyan"/>
        </w:rPr>
        <w:t>slovního</w:t>
      </w:r>
      <w:proofErr w:type="spellEnd"/>
      <w:r>
        <w:rPr>
          <w:rFonts w:ascii="Arial" w:hAnsi="Arial" w:cs="Arial"/>
          <w:i/>
          <w:iCs/>
          <w:highlight w:val="cyan"/>
        </w:rPr>
        <w:t xml:space="preserve"> </w:t>
      </w:r>
      <w:proofErr w:type="spellStart"/>
      <w:r>
        <w:rPr>
          <w:rFonts w:ascii="Arial" w:hAnsi="Arial" w:cs="Arial"/>
          <w:i/>
          <w:iCs/>
          <w:highlight w:val="cyan"/>
        </w:rPr>
        <w:t>spojení</w:t>
      </w:r>
      <w:proofErr w:type="spellEnd"/>
      <w:r>
        <w:rPr>
          <w:rFonts w:ascii="Arial" w:hAnsi="Arial" w:cs="Arial"/>
          <w:i/>
          <w:iCs/>
          <w:highlight w:val="cyan"/>
        </w:rPr>
        <w:t xml:space="preserve"> „z </w:t>
      </w:r>
      <w:proofErr w:type="spellStart"/>
      <w:r>
        <w:rPr>
          <w:rFonts w:ascii="Arial" w:hAnsi="Arial" w:cs="Arial"/>
          <w:i/>
          <w:iCs/>
          <w:highlight w:val="cyan"/>
        </w:rPr>
        <w:t>poskytnutých</w:t>
      </w:r>
      <w:proofErr w:type="spellEnd"/>
      <w:r>
        <w:rPr>
          <w:rFonts w:ascii="Arial" w:hAnsi="Arial" w:cs="Arial"/>
          <w:i/>
          <w:iCs/>
          <w:highlight w:val="cyan"/>
        </w:rPr>
        <w:t xml:space="preserve"> </w:t>
      </w:r>
      <w:proofErr w:type="spellStart"/>
      <w:proofErr w:type="gramStart"/>
      <w:r>
        <w:rPr>
          <w:rFonts w:ascii="Arial" w:hAnsi="Arial" w:cs="Arial"/>
          <w:i/>
          <w:iCs/>
          <w:highlight w:val="cyan"/>
        </w:rPr>
        <w:t>úvěrů</w:t>
      </w:r>
      <w:proofErr w:type="spellEnd"/>
      <w:r>
        <w:rPr>
          <w:rFonts w:ascii="Arial" w:hAnsi="Arial" w:cs="Arial"/>
          <w:i/>
          <w:iCs/>
          <w:highlight w:val="cyan"/>
        </w:rPr>
        <w:t xml:space="preserve">“ </w:t>
      </w:r>
      <w:proofErr w:type="spellStart"/>
      <w:r>
        <w:rPr>
          <w:rFonts w:ascii="Arial" w:hAnsi="Arial" w:cs="Arial"/>
          <w:i/>
          <w:iCs/>
          <w:highlight w:val="cyan"/>
        </w:rPr>
        <w:t>jednoznačně</w:t>
      </w:r>
      <w:proofErr w:type="spellEnd"/>
      <w:proofErr w:type="gramEnd"/>
      <w:r>
        <w:rPr>
          <w:rFonts w:ascii="Arial" w:hAnsi="Arial" w:cs="Arial"/>
          <w:i/>
          <w:iCs/>
          <w:highlight w:val="cyan"/>
        </w:rPr>
        <w:t xml:space="preserve"> </w:t>
      </w:r>
      <w:proofErr w:type="spellStart"/>
      <w:r>
        <w:rPr>
          <w:rFonts w:ascii="Arial" w:hAnsi="Arial" w:cs="Arial"/>
          <w:i/>
          <w:iCs/>
          <w:highlight w:val="cyan"/>
        </w:rPr>
        <w:t>vyjadřuje</w:t>
      </w:r>
      <w:proofErr w:type="spellEnd"/>
      <w:r>
        <w:rPr>
          <w:rFonts w:ascii="Arial" w:hAnsi="Arial" w:cs="Arial"/>
          <w:i/>
          <w:iCs/>
          <w:highlight w:val="cyan"/>
        </w:rPr>
        <w:t xml:space="preserve"> </w:t>
      </w:r>
      <w:proofErr w:type="spellStart"/>
      <w:r>
        <w:rPr>
          <w:rFonts w:ascii="Arial" w:hAnsi="Arial" w:cs="Arial"/>
          <w:i/>
          <w:iCs/>
          <w:highlight w:val="cyan"/>
        </w:rPr>
        <w:t>přímou</w:t>
      </w:r>
      <w:proofErr w:type="spellEnd"/>
      <w:r>
        <w:rPr>
          <w:rFonts w:ascii="Arial" w:hAnsi="Arial" w:cs="Arial"/>
          <w:i/>
          <w:iCs/>
          <w:highlight w:val="cyan"/>
        </w:rPr>
        <w:t xml:space="preserve"> </w:t>
      </w:r>
      <w:proofErr w:type="spellStart"/>
      <w:r>
        <w:rPr>
          <w:rFonts w:ascii="Arial" w:hAnsi="Arial" w:cs="Arial"/>
          <w:i/>
          <w:iCs/>
          <w:highlight w:val="cyan"/>
        </w:rPr>
        <w:t>vazbu</w:t>
      </w:r>
      <w:proofErr w:type="spellEnd"/>
      <w:r>
        <w:rPr>
          <w:rFonts w:ascii="Arial" w:hAnsi="Arial" w:cs="Arial"/>
          <w:i/>
          <w:iCs/>
          <w:highlight w:val="cyan"/>
        </w:rPr>
        <w:t xml:space="preserve"> </w:t>
      </w:r>
      <w:proofErr w:type="spellStart"/>
      <w:r>
        <w:rPr>
          <w:rFonts w:ascii="Arial" w:hAnsi="Arial" w:cs="Arial"/>
          <w:i/>
          <w:iCs/>
          <w:highlight w:val="cyan"/>
        </w:rPr>
        <w:t>mezi</w:t>
      </w:r>
      <w:proofErr w:type="spellEnd"/>
      <w:r>
        <w:rPr>
          <w:rFonts w:ascii="Arial" w:hAnsi="Arial" w:cs="Arial"/>
          <w:i/>
          <w:iCs/>
          <w:highlight w:val="cyan"/>
        </w:rPr>
        <w:t xml:space="preserve"> </w:t>
      </w:r>
      <w:proofErr w:type="spellStart"/>
      <w:r>
        <w:rPr>
          <w:rFonts w:ascii="Arial" w:hAnsi="Arial" w:cs="Arial"/>
          <w:i/>
          <w:iCs/>
          <w:highlight w:val="cyan"/>
        </w:rPr>
        <w:t>výnosem</w:t>
      </w:r>
      <w:proofErr w:type="spellEnd"/>
      <w:r>
        <w:rPr>
          <w:rFonts w:ascii="Arial" w:hAnsi="Arial" w:cs="Arial"/>
          <w:i/>
          <w:iCs/>
          <w:highlight w:val="cyan"/>
        </w:rPr>
        <w:t xml:space="preserve"> a </w:t>
      </w:r>
      <w:proofErr w:type="spellStart"/>
      <w:r>
        <w:rPr>
          <w:rFonts w:ascii="Arial" w:hAnsi="Arial" w:cs="Arial"/>
          <w:i/>
          <w:iCs/>
          <w:highlight w:val="cyan"/>
        </w:rPr>
        <w:t>poskytnutím</w:t>
      </w:r>
      <w:proofErr w:type="spellEnd"/>
      <w:r>
        <w:rPr>
          <w:rFonts w:ascii="Arial" w:hAnsi="Arial" w:cs="Arial"/>
          <w:i/>
          <w:iCs/>
          <w:highlight w:val="cyan"/>
        </w:rPr>
        <w:t xml:space="preserve"> </w:t>
      </w:r>
      <w:proofErr w:type="spellStart"/>
      <w:r>
        <w:rPr>
          <w:rFonts w:ascii="Arial" w:hAnsi="Arial" w:cs="Arial"/>
          <w:i/>
          <w:iCs/>
          <w:highlight w:val="cyan"/>
        </w:rPr>
        <w:t>finančních</w:t>
      </w:r>
      <w:proofErr w:type="spellEnd"/>
      <w:r>
        <w:rPr>
          <w:rFonts w:ascii="Arial" w:hAnsi="Arial" w:cs="Arial"/>
          <w:i/>
          <w:iCs/>
          <w:highlight w:val="cyan"/>
        </w:rPr>
        <w:t xml:space="preserve"> </w:t>
      </w:r>
      <w:proofErr w:type="spellStart"/>
      <w:r>
        <w:rPr>
          <w:rFonts w:ascii="Arial" w:hAnsi="Arial" w:cs="Arial"/>
          <w:i/>
          <w:iCs/>
          <w:highlight w:val="cyan"/>
        </w:rPr>
        <w:t>prostředků</w:t>
      </w:r>
      <w:proofErr w:type="spellEnd"/>
      <w:r>
        <w:rPr>
          <w:rFonts w:ascii="Arial" w:hAnsi="Arial" w:cs="Arial"/>
          <w:i/>
          <w:iCs/>
          <w:highlight w:val="cyan"/>
        </w:rPr>
        <w:t xml:space="preserve">, </w:t>
      </w:r>
      <w:proofErr w:type="spellStart"/>
      <w:r>
        <w:rPr>
          <w:rFonts w:ascii="Arial" w:hAnsi="Arial" w:cs="Arial"/>
          <w:i/>
          <w:iCs/>
          <w:highlight w:val="cyan"/>
        </w:rPr>
        <w:t>nikoliv</w:t>
      </w:r>
      <w:proofErr w:type="spellEnd"/>
      <w:r>
        <w:rPr>
          <w:rFonts w:ascii="Arial" w:hAnsi="Arial" w:cs="Arial"/>
          <w:i/>
          <w:iCs/>
          <w:highlight w:val="cyan"/>
        </w:rPr>
        <w:t xml:space="preserve"> i </w:t>
      </w:r>
      <w:proofErr w:type="spellStart"/>
      <w:r>
        <w:rPr>
          <w:rFonts w:ascii="Arial" w:hAnsi="Arial" w:cs="Arial"/>
          <w:i/>
          <w:iCs/>
          <w:highlight w:val="cyan"/>
        </w:rPr>
        <w:t>vazbu</w:t>
      </w:r>
      <w:proofErr w:type="spellEnd"/>
      <w:r>
        <w:rPr>
          <w:rFonts w:ascii="Arial" w:hAnsi="Arial" w:cs="Arial"/>
          <w:i/>
          <w:iCs/>
          <w:highlight w:val="cyan"/>
        </w:rPr>
        <w:t xml:space="preserve"> </w:t>
      </w:r>
      <w:proofErr w:type="spellStart"/>
      <w:r>
        <w:rPr>
          <w:rFonts w:ascii="Arial" w:hAnsi="Arial" w:cs="Arial"/>
          <w:i/>
          <w:iCs/>
          <w:highlight w:val="cyan"/>
        </w:rPr>
        <w:t>nepřímou</w:t>
      </w:r>
      <w:proofErr w:type="spellEnd"/>
      <w:r>
        <w:rPr>
          <w:rFonts w:ascii="Arial" w:hAnsi="Arial" w:cs="Arial"/>
          <w:i/>
          <w:iCs/>
          <w:highlight w:val="cyan"/>
        </w:rPr>
        <w:t xml:space="preserve">, </w:t>
      </w:r>
      <w:proofErr w:type="spellStart"/>
      <w:r>
        <w:rPr>
          <w:rFonts w:ascii="Arial" w:hAnsi="Arial" w:cs="Arial"/>
          <w:i/>
          <w:iCs/>
          <w:highlight w:val="cyan"/>
        </w:rPr>
        <w:t>tj</w:t>
      </w:r>
      <w:proofErr w:type="spellEnd"/>
      <w:r>
        <w:rPr>
          <w:rFonts w:ascii="Arial" w:hAnsi="Arial" w:cs="Arial"/>
          <w:i/>
          <w:iCs/>
          <w:highlight w:val="cyan"/>
        </w:rPr>
        <w:t>. </w:t>
      </w:r>
      <w:proofErr w:type="spellStart"/>
      <w:r>
        <w:rPr>
          <w:rFonts w:ascii="Arial" w:hAnsi="Arial" w:cs="Arial"/>
          <w:i/>
          <w:iCs/>
          <w:highlight w:val="cyan"/>
        </w:rPr>
        <w:t>souvislost</w:t>
      </w:r>
      <w:proofErr w:type="spellEnd"/>
      <w:r>
        <w:rPr>
          <w:rFonts w:ascii="Arial" w:hAnsi="Arial" w:cs="Arial"/>
          <w:i/>
          <w:iCs/>
          <w:highlight w:val="cyan"/>
        </w:rPr>
        <w:t xml:space="preserve"> s </w:t>
      </w:r>
      <w:proofErr w:type="spellStart"/>
      <w:r>
        <w:rPr>
          <w:rFonts w:ascii="Arial" w:hAnsi="Arial" w:cs="Arial"/>
          <w:i/>
          <w:iCs/>
          <w:highlight w:val="cyan"/>
        </w:rPr>
        <w:t>poskytnutím</w:t>
      </w:r>
      <w:proofErr w:type="spellEnd"/>
      <w:r>
        <w:rPr>
          <w:rFonts w:ascii="Arial" w:hAnsi="Arial" w:cs="Arial"/>
          <w:i/>
          <w:iCs/>
          <w:highlight w:val="cyan"/>
        </w:rPr>
        <w:t xml:space="preserve"> </w:t>
      </w:r>
      <w:proofErr w:type="spellStart"/>
      <w:r>
        <w:rPr>
          <w:rFonts w:ascii="Arial" w:hAnsi="Arial" w:cs="Arial"/>
          <w:i/>
          <w:iCs/>
          <w:highlight w:val="cyan"/>
        </w:rPr>
        <w:t>finančních</w:t>
      </w:r>
      <w:proofErr w:type="spellEnd"/>
      <w:r>
        <w:rPr>
          <w:rFonts w:ascii="Arial" w:hAnsi="Arial" w:cs="Arial"/>
          <w:i/>
          <w:iCs/>
          <w:highlight w:val="cyan"/>
        </w:rPr>
        <w:t xml:space="preserve"> </w:t>
      </w:r>
      <w:proofErr w:type="spellStart"/>
      <w:r>
        <w:rPr>
          <w:rFonts w:ascii="Arial" w:hAnsi="Arial" w:cs="Arial"/>
          <w:i/>
          <w:iCs/>
          <w:highlight w:val="cyan"/>
        </w:rPr>
        <w:t>prostředků</w:t>
      </w:r>
      <w:proofErr w:type="spellEnd"/>
      <w:r>
        <w:rPr>
          <w:rFonts w:ascii="Arial" w:hAnsi="Arial" w:cs="Arial"/>
          <w:i/>
          <w:iCs/>
          <w:highlight w:val="cyan"/>
        </w:rPr>
        <w:t xml:space="preserve">. </w:t>
      </w:r>
    </w:p>
    <w:p w14:paraId="1E3974CE" w14:textId="77777777" w:rsidR="005E4E00" w:rsidRDefault="005E4E00" w:rsidP="005E4E00">
      <w:pPr>
        <w:jc w:val="both"/>
        <w:rPr>
          <w:rFonts w:ascii="Arial" w:hAnsi="Arial" w:cs="Arial"/>
          <w:i/>
          <w:iCs/>
          <w:highlight w:val="cyan"/>
        </w:rPr>
      </w:pPr>
      <w:r>
        <w:rPr>
          <w:rFonts w:ascii="Arial" w:hAnsi="Arial" w:cs="Arial"/>
          <w:i/>
          <w:iCs/>
          <w:highlight w:val="cyan"/>
        </w:rPr>
        <w:t xml:space="preserve"> </w:t>
      </w:r>
    </w:p>
    <w:p w14:paraId="1D42BDBB" w14:textId="77777777" w:rsidR="005E4E00" w:rsidRPr="009D12D0" w:rsidRDefault="005E4E00" w:rsidP="005E4E00">
      <w:pPr>
        <w:jc w:val="both"/>
        <w:rPr>
          <w:rFonts w:ascii="Arial" w:hAnsi="Arial" w:cs="Arial"/>
          <w:b/>
          <w:bCs/>
          <w:i/>
          <w:iCs/>
          <w:highlight w:val="cyan"/>
        </w:rPr>
      </w:pPr>
      <w:r w:rsidRPr="009D12D0">
        <w:rPr>
          <w:rFonts w:ascii="Arial" w:hAnsi="Arial" w:cs="Arial"/>
          <w:b/>
          <w:bCs/>
          <w:i/>
          <w:iCs/>
          <w:highlight w:val="cyan"/>
        </w:rPr>
        <w:t xml:space="preserve">2. </w:t>
      </w:r>
      <w:proofErr w:type="spellStart"/>
      <w:r w:rsidRPr="009D12D0">
        <w:rPr>
          <w:rFonts w:ascii="Arial" w:hAnsi="Arial" w:cs="Arial"/>
          <w:b/>
          <w:bCs/>
          <w:i/>
          <w:iCs/>
          <w:highlight w:val="cyan"/>
        </w:rPr>
        <w:t>historický</w:t>
      </w:r>
      <w:proofErr w:type="spellEnd"/>
      <w:r w:rsidRPr="009D12D0">
        <w:rPr>
          <w:rFonts w:ascii="Arial" w:hAnsi="Arial" w:cs="Arial"/>
          <w:b/>
          <w:bCs/>
          <w:i/>
          <w:iCs/>
          <w:highlight w:val="cyan"/>
        </w:rPr>
        <w:t xml:space="preserve"> </w:t>
      </w:r>
      <w:proofErr w:type="spellStart"/>
      <w:r w:rsidRPr="009D12D0">
        <w:rPr>
          <w:rFonts w:ascii="Arial" w:hAnsi="Arial" w:cs="Arial"/>
          <w:b/>
          <w:bCs/>
          <w:i/>
          <w:iCs/>
          <w:highlight w:val="cyan"/>
        </w:rPr>
        <w:t>výklad</w:t>
      </w:r>
      <w:proofErr w:type="spellEnd"/>
    </w:p>
    <w:p w14:paraId="24757FEF" w14:textId="77777777" w:rsidR="005E4E00" w:rsidRDefault="005E4E00" w:rsidP="005E4E00">
      <w:pPr>
        <w:jc w:val="both"/>
        <w:rPr>
          <w:rFonts w:ascii="Arial" w:hAnsi="Arial" w:cs="Arial"/>
          <w:i/>
          <w:iCs/>
          <w:highlight w:val="cyan"/>
        </w:rPr>
      </w:pPr>
    </w:p>
    <w:p w14:paraId="4AB9B4DD" w14:textId="77777777" w:rsidR="005E4E00" w:rsidRDefault="005E4E00" w:rsidP="005E4E00">
      <w:pPr>
        <w:jc w:val="both"/>
        <w:rPr>
          <w:rFonts w:ascii="Arial" w:hAnsi="Arial" w:cs="Arial"/>
          <w:i/>
          <w:iCs/>
          <w:highlight w:val="cyan"/>
        </w:rPr>
      </w:pPr>
      <w:proofErr w:type="spellStart"/>
      <w:r>
        <w:rPr>
          <w:rFonts w:ascii="Arial" w:hAnsi="Arial" w:cs="Arial"/>
          <w:i/>
          <w:iCs/>
          <w:highlight w:val="cyan"/>
        </w:rPr>
        <w:t>Vzhledem</w:t>
      </w:r>
      <w:proofErr w:type="spellEnd"/>
      <w:r>
        <w:rPr>
          <w:rFonts w:ascii="Arial" w:hAnsi="Arial" w:cs="Arial"/>
          <w:i/>
          <w:iCs/>
          <w:highlight w:val="cyan"/>
        </w:rPr>
        <w:t xml:space="preserve"> k </w:t>
      </w:r>
      <w:proofErr w:type="spellStart"/>
      <w:r>
        <w:rPr>
          <w:rFonts w:ascii="Arial" w:hAnsi="Arial" w:cs="Arial"/>
          <w:i/>
          <w:iCs/>
          <w:highlight w:val="cyan"/>
        </w:rPr>
        <w:t>absenci</w:t>
      </w:r>
      <w:proofErr w:type="spellEnd"/>
      <w:r>
        <w:rPr>
          <w:rFonts w:ascii="Arial" w:hAnsi="Arial" w:cs="Arial"/>
          <w:i/>
          <w:iCs/>
          <w:highlight w:val="cyan"/>
        </w:rPr>
        <w:t xml:space="preserve"> </w:t>
      </w:r>
      <w:proofErr w:type="spellStart"/>
      <w:r>
        <w:rPr>
          <w:rFonts w:ascii="Arial" w:hAnsi="Arial" w:cs="Arial"/>
          <w:i/>
          <w:iCs/>
          <w:highlight w:val="cyan"/>
        </w:rPr>
        <w:t>odůvodnění</w:t>
      </w:r>
      <w:proofErr w:type="spellEnd"/>
      <w:r>
        <w:rPr>
          <w:rFonts w:ascii="Arial" w:hAnsi="Arial" w:cs="Arial"/>
          <w:i/>
          <w:iCs/>
          <w:highlight w:val="cyan"/>
        </w:rPr>
        <w:t xml:space="preserve"> </w:t>
      </w:r>
      <w:proofErr w:type="spellStart"/>
      <w:r>
        <w:rPr>
          <w:rFonts w:ascii="Arial" w:hAnsi="Arial" w:cs="Arial"/>
          <w:i/>
          <w:iCs/>
          <w:highlight w:val="cyan"/>
        </w:rPr>
        <w:t>zavedení</w:t>
      </w:r>
      <w:proofErr w:type="spellEnd"/>
      <w:r>
        <w:rPr>
          <w:rFonts w:ascii="Arial" w:hAnsi="Arial" w:cs="Arial"/>
          <w:i/>
          <w:iCs/>
          <w:highlight w:val="cyan"/>
        </w:rPr>
        <w:t xml:space="preserve"> § 5a do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formou</w:t>
      </w:r>
      <w:proofErr w:type="spellEnd"/>
      <w:r>
        <w:rPr>
          <w:rFonts w:ascii="Arial" w:hAnsi="Arial" w:cs="Arial"/>
          <w:i/>
          <w:iCs/>
          <w:highlight w:val="cyan"/>
        </w:rPr>
        <w:t xml:space="preserve"> </w:t>
      </w:r>
      <w:proofErr w:type="spellStart"/>
      <w:r>
        <w:rPr>
          <w:rFonts w:ascii="Arial" w:hAnsi="Arial" w:cs="Arial"/>
          <w:i/>
          <w:iCs/>
          <w:highlight w:val="cyan"/>
        </w:rPr>
        <w:t>pozměňovacího</w:t>
      </w:r>
      <w:proofErr w:type="spellEnd"/>
      <w:r>
        <w:rPr>
          <w:rFonts w:ascii="Arial" w:hAnsi="Arial" w:cs="Arial"/>
          <w:i/>
          <w:iCs/>
          <w:highlight w:val="cyan"/>
        </w:rPr>
        <w:t xml:space="preserve"> </w:t>
      </w:r>
      <w:proofErr w:type="spellStart"/>
      <w:r>
        <w:rPr>
          <w:rFonts w:ascii="Arial" w:hAnsi="Arial" w:cs="Arial"/>
          <w:i/>
          <w:iCs/>
          <w:highlight w:val="cyan"/>
        </w:rPr>
        <w:t>návrhu</w:t>
      </w:r>
      <w:proofErr w:type="spellEnd"/>
      <w:r>
        <w:rPr>
          <w:rFonts w:ascii="Arial" w:hAnsi="Arial" w:cs="Arial"/>
          <w:i/>
          <w:iCs/>
          <w:highlight w:val="cyan"/>
        </w:rPr>
        <w:t xml:space="preserve"> k </w:t>
      </w:r>
      <w:proofErr w:type="spellStart"/>
      <w:r>
        <w:rPr>
          <w:rFonts w:ascii="Arial" w:hAnsi="Arial" w:cs="Arial"/>
          <w:i/>
          <w:iCs/>
          <w:highlight w:val="cyan"/>
        </w:rPr>
        <w:t>návrhu</w:t>
      </w:r>
      <w:proofErr w:type="spellEnd"/>
      <w:r>
        <w:rPr>
          <w:rFonts w:ascii="Arial" w:hAnsi="Arial" w:cs="Arial"/>
          <w:i/>
          <w:iCs/>
          <w:highlight w:val="cyan"/>
        </w:rPr>
        <w:t xml:space="preserve"> </w:t>
      </w:r>
      <w:proofErr w:type="spellStart"/>
      <w:r>
        <w:rPr>
          <w:rFonts w:ascii="Arial" w:hAnsi="Arial" w:cs="Arial"/>
          <w:i/>
          <w:iCs/>
          <w:highlight w:val="cyan"/>
        </w:rPr>
        <w:t>zákona</w:t>
      </w:r>
      <w:proofErr w:type="spellEnd"/>
      <w:r>
        <w:rPr>
          <w:rFonts w:ascii="Arial" w:hAnsi="Arial" w:cs="Arial"/>
          <w:i/>
          <w:iCs/>
          <w:highlight w:val="cyan"/>
        </w:rPr>
        <w:t xml:space="preserve"> č. 438/2003 Sb. </w:t>
      </w:r>
      <w:proofErr w:type="spellStart"/>
      <w:r>
        <w:rPr>
          <w:rFonts w:ascii="Arial" w:hAnsi="Arial" w:cs="Arial"/>
          <w:i/>
          <w:iCs/>
          <w:highlight w:val="cyan"/>
        </w:rPr>
        <w:t>nelze</w:t>
      </w:r>
      <w:proofErr w:type="spellEnd"/>
      <w:r>
        <w:rPr>
          <w:rFonts w:ascii="Arial" w:hAnsi="Arial" w:cs="Arial"/>
          <w:i/>
          <w:iCs/>
          <w:highlight w:val="cyan"/>
        </w:rPr>
        <w:t xml:space="preserve"> </w:t>
      </w:r>
      <w:proofErr w:type="spellStart"/>
      <w:r>
        <w:rPr>
          <w:rFonts w:ascii="Arial" w:hAnsi="Arial" w:cs="Arial"/>
          <w:i/>
          <w:iCs/>
          <w:highlight w:val="cyan"/>
        </w:rPr>
        <w:t>úmysl</w:t>
      </w:r>
      <w:proofErr w:type="spellEnd"/>
      <w:r>
        <w:rPr>
          <w:rFonts w:ascii="Arial" w:hAnsi="Arial" w:cs="Arial"/>
          <w:i/>
          <w:iCs/>
          <w:highlight w:val="cyan"/>
        </w:rPr>
        <w:t xml:space="preserve"> </w:t>
      </w:r>
      <w:proofErr w:type="spellStart"/>
      <w:r>
        <w:rPr>
          <w:rFonts w:ascii="Arial" w:hAnsi="Arial" w:cs="Arial"/>
          <w:i/>
          <w:iCs/>
          <w:highlight w:val="cyan"/>
        </w:rPr>
        <w:t>zákonodárce</w:t>
      </w:r>
      <w:proofErr w:type="spellEnd"/>
      <w:r>
        <w:rPr>
          <w:rFonts w:ascii="Arial" w:hAnsi="Arial" w:cs="Arial"/>
          <w:i/>
          <w:iCs/>
          <w:highlight w:val="cyan"/>
        </w:rPr>
        <w:t xml:space="preserve"> </w:t>
      </w:r>
      <w:proofErr w:type="spellStart"/>
      <w:r>
        <w:rPr>
          <w:rFonts w:ascii="Arial" w:hAnsi="Arial" w:cs="Arial"/>
          <w:i/>
          <w:iCs/>
          <w:highlight w:val="cyan"/>
        </w:rPr>
        <w:t>jednoznačně</w:t>
      </w:r>
      <w:proofErr w:type="spellEnd"/>
      <w:r>
        <w:rPr>
          <w:rFonts w:ascii="Arial" w:hAnsi="Arial" w:cs="Arial"/>
          <w:i/>
          <w:iCs/>
          <w:highlight w:val="cyan"/>
        </w:rPr>
        <w:t xml:space="preserve"> </w:t>
      </w:r>
      <w:proofErr w:type="spellStart"/>
      <w:r>
        <w:rPr>
          <w:rFonts w:ascii="Arial" w:hAnsi="Arial" w:cs="Arial"/>
          <w:i/>
          <w:iCs/>
          <w:highlight w:val="cyan"/>
        </w:rPr>
        <w:t>dovodit</w:t>
      </w:r>
      <w:proofErr w:type="spellEnd"/>
      <w:r>
        <w:rPr>
          <w:rFonts w:ascii="Arial" w:hAnsi="Arial" w:cs="Arial"/>
          <w:i/>
          <w:iCs/>
          <w:highlight w:val="cyan"/>
        </w:rPr>
        <w:t>.</w:t>
      </w:r>
    </w:p>
    <w:p w14:paraId="515C4F3C" w14:textId="77777777" w:rsidR="005E4E00" w:rsidRDefault="005E4E00" w:rsidP="005E4E00">
      <w:pPr>
        <w:jc w:val="both"/>
        <w:rPr>
          <w:rFonts w:ascii="Arial" w:hAnsi="Arial" w:cs="Arial"/>
          <w:i/>
          <w:iCs/>
          <w:highlight w:val="cyan"/>
        </w:rPr>
      </w:pPr>
    </w:p>
    <w:p w14:paraId="5D589F8A" w14:textId="77777777" w:rsidR="005E4E00" w:rsidRDefault="005E4E00" w:rsidP="005E4E00">
      <w:pPr>
        <w:jc w:val="both"/>
        <w:rPr>
          <w:rFonts w:ascii="Arial" w:hAnsi="Arial" w:cs="Arial"/>
          <w:b/>
          <w:bCs/>
          <w:i/>
          <w:iCs/>
          <w:highlight w:val="cyan"/>
        </w:rPr>
      </w:pPr>
      <w:r>
        <w:rPr>
          <w:rFonts w:ascii="Arial" w:hAnsi="Arial" w:cs="Arial"/>
          <w:b/>
          <w:bCs/>
          <w:i/>
          <w:iCs/>
          <w:highlight w:val="cyan"/>
        </w:rPr>
        <w:t xml:space="preserve">3. </w:t>
      </w:r>
      <w:proofErr w:type="spellStart"/>
      <w:r>
        <w:rPr>
          <w:rFonts w:ascii="Arial" w:hAnsi="Arial" w:cs="Arial"/>
          <w:b/>
          <w:bCs/>
          <w:i/>
          <w:iCs/>
          <w:highlight w:val="cyan"/>
        </w:rPr>
        <w:t>t</w:t>
      </w:r>
      <w:r w:rsidRPr="00E15BDF">
        <w:rPr>
          <w:rFonts w:ascii="Arial" w:hAnsi="Arial" w:cs="Arial"/>
          <w:b/>
          <w:bCs/>
          <w:i/>
          <w:iCs/>
          <w:highlight w:val="cyan"/>
        </w:rPr>
        <w:t>eleologický</w:t>
      </w:r>
      <w:proofErr w:type="spellEnd"/>
      <w:r w:rsidRPr="00E15BDF">
        <w:rPr>
          <w:rFonts w:ascii="Arial" w:hAnsi="Arial" w:cs="Arial"/>
          <w:b/>
          <w:bCs/>
          <w:i/>
          <w:iCs/>
          <w:highlight w:val="cyan"/>
        </w:rPr>
        <w:t xml:space="preserve"> </w:t>
      </w:r>
      <w:proofErr w:type="spellStart"/>
      <w:r w:rsidRPr="00E15BDF">
        <w:rPr>
          <w:rFonts w:ascii="Arial" w:hAnsi="Arial" w:cs="Arial"/>
          <w:b/>
          <w:bCs/>
          <w:i/>
          <w:iCs/>
          <w:highlight w:val="cyan"/>
        </w:rPr>
        <w:t>výklad</w:t>
      </w:r>
      <w:proofErr w:type="spellEnd"/>
    </w:p>
    <w:p w14:paraId="2BED5CCE" w14:textId="77777777" w:rsidR="005E4E00" w:rsidRDefault="005E4E00" w:rsidP="005E4E00">
      <w:pPr>
        <w:jc w:val="both"/>
        <w:rPr>
          <w:rFonts w:ascii="Arial" w:hAnsi="Arial" w:cs="Arial"/>
          <w:i/>
          <w:iCs/>
          <w:highlight w:val="cyan"/>
        </w:rPr>
      </w:pPr>
    </w:p>
    <w:p w14:paraId="4C0E2559" w14:textId="77777777" w:rsidR="005E4E00" w:rsidRPr="00E15BDF" w:rsidRDefault="005E4E00" w:rsidP="005E4E00">
      <w:pPr>
        <w:jc w:val="both"/>
        <w:rPr>
          <w:rFonts w:ascii="Arial" w:hAnsi="Arial" w:cs="Arial"/>
          <w:b/>
          <w:bCs/>
          <w:i/>
          <w:iCs/>
          <w:highlight w:val="cyan"/>
        </w:rPr>
      </w:pPr>
      <w:r>
        <w:rPr>
          <w:rFonts w:ascii="Arial" w:hAnsi="Arial" w:cs="Arial"/>
          <w:i/>
          <w:iCs/>
          <w:highlight w:val="cyan"/>
        </w:rPr>
        <w:t>Z </w:t>
      </w:r>
      <w:proofErr w:type="spellStart"/>
      <w:r>
        <w:rPr>
          <w:rFonts w:ascii="Arial" w:hAnsi="Arial" w:cs="Arial"/>
          <w:i/>
          <w:iCs/>
          <w:highlight w:val="cyan"/>
        </w:rPr>
        <w:t>formulace</w:t>
      </w:r>
      <w:proofErr w:type="spellEnd"/>
      <w:r>
        <w:rPr>
          <w:rFonts w:ascii="Arial" w:hAnsi="Arial" w:cs="Arial"/>
          <w:i/>
          <w:iCs/>
          <w:highlight w:val="cyan"/>
        </w:rPr>
        <w:t xml:space="preserve"> </w:t>
      </w:r>
      <w:proofErr w:type="spellStart"/>
      <w:r>
        <w:rPr>
          <w:rFonts w:ascii="Arial" w:hAnsi="Arial" w:cs="Arial"/>
          <w:i/>
          <w:iCs/>
          <w:highlight w:val="cyan"/>
        </w:rPr>
        <w:t>textu</w:t>
      </w:r>
      <w:proofErr w:type="spellEnd"/>
      <w:r>
        <w:rPr>
          <w:rFonts w:ascii="Arial" w:hAnsi="Arial" w:cs="Arial"/>
          <w:i/>
          <w:iCs/>
          <w:highlight w:val="cyan"/>
        </w:rPr>
        <w:t xml:space="preserve"> </w:t>
      </w:r>
      <w:proofErr w:type="spellStart"/>
      <w:r>
        <w:rPr>
          <w:rFonts w:ascii="Arial" w:hAnsi="Arial" w:cs="Arial"/>
          <w:i/>
          <w:iCs/>
          <w:highlight w:val="cyan"/>
        </w:rPr>
        <w:t>ustanovení</w:t>
      </w:r>
      <w:proofErr w:type="spellEnd"/>
      <w:r>
        <w:rPr>
          <w:rFonts w:ascii="Arial" w:hAnsi="Arial" w:cs="Arial"/>
          <w:i/>
          <w:iCs/>
          <w:highlight w:val="cyan"/>
        </w:rPr>
        <w:t xml:space="preserve"> § 5a </w:t>
      </w:r>
      <w:proofErr w:type="spellStart"/>
      <w:r>
        <w:rPr>
          <w:rFonts w:ascii="Arial" w:hAnsi="Arial" w:cs="Arial"/>
          <w:i/>
          <w:iCs/>
          <w:highlight w:val="cyan"/>
        </w:rPr>
        <w:t>ZoR</w:t>
      </w:r>
      <w:proofErr w:type="spellEnd"/>
      <w:r>
        <w:rPr>
          <w:rFonts w:ascii="Arial" w:hAnsi="Arial" w:cs="Arial"/>
          <w:i/>
          <w:iCs/>
          <w:highlight w:val="cyan"/>
        </w:rPr>
        <w:t xml:space="preserve"> v </w:t>
      </w:r>
      <w:proofErr w:type="spellStart"/>
      <w:r>
        <w:rPr>
          <w:rFonts w:ascii="Arial" w:hAnsi="Arial" w:cs="Arial"/>
          <w:i/>
          <w:iCs/>
          <w:highlight w:val="cyan"/>
        </w:rPr>
        <w:t>pozměňovacím</w:t>
      </w:r>
      <w:proofErr w:type="spellEnd"/>
      <w:r>
        <w:rPr>
          <w:rFonts w:ascii="Arial" w:hAnsi="Arial" w:cs="Arial"/>
          <w:i/>
          <w:iCs/>
          <w:highlight w:val="cyan"/>
        </w:rPr>
        <w:t xml:space="preserve"> </w:t>
      </w:r>
      <w:proofErr w:type="spellStart"/>
      <w:r>
        <w:rPr>
          <w:rFonts w:ascii="Arial" w:hAnsi="Arial" w:cs="Arial"/>
          <w:i/>
          <w:iCs/>
          <w:highlight w:val="cyan"/>
        </w:rPr>
        <w:t>návrhu</w:t>
      </w:r>
      <w:proofErr w:type="spellEnd"/>
      <w:r>
        <w:rPr>
          <w:rFonts w:ascii="Arial" w:hAnsi="Arial" w:cs="Arial"/>
          <w:i/>
          <w:iCs/>
          <w:highlight w:val="cyan"/>
        </w:rPr>
        <w:t xml:space="preserve"> k </w:t>
      </w:r>
      <w:proofErr w:type="spellStart"/>
      <w:r>
        <w:rPr>
          <w:rFonts w:ascii="Arial" w:hAnsi="Arial" w:cs="Arial"/>
          <w:i/>
          <w:iCs/>
          <w:highlight w:val="cyan"/>
        </w:rPr>
        <w:t>návrhu</w:t>
      </w:r>
      <w:proofErr w:type="spellEnd"/>
      <w:r>
        <w:rPr>
          <w:rFonts w:ascii="Arial" w:hAnsi="Arial" w:cs="Arial"/>
          <w:i/>
          <w:iCs/>
          <w:highlight w:val="cyan"/>
        </w:rPr>
        <w:t xml:space="preserve"> </w:t>
      </w:r>
      <w:proofErr w:type="spellStart"/>
      <w:r>
        <w:rPr>
          <w:rFonts w:ascii="Arial" w:hAnsi="Arial" w:cs="Arial"/>
          <w:i/>
          <w:iCs/>
          <w:highlight w:val="cyan"/>
        </w:rPr>
        <w:t>zákona</w:t>
      </w:r>
      <w:proofErr w:type="spellEnd"/>
      <w:r>
        <w:rPr>
          <w:rFonts w:ascii="Arial" w:hAnsi="Arial" w:cs="Arial"/>
          <w:i/>
          <w:iCs/>
          <w:highlight w:val="cyan"/>
        </w:rPr>
        <w:t xml:space="preserve"> č. 438/2003 Sb. </w:t>
      </w:r>
      <w:proofErr w:type="spellStart"/>
      <w:r>
        <w:rPr>
          <w:rFonts w:ascii="Arial" w:hAnsi="Arial" w:cs="Arial"/>
          <w:i/>
          <w:iCs/>
          <w:highlight w:val="cyan"/>
        </w:rPr>
        <w:t>však</w:t>
      </w:r>
      <w:proofErr w:type="spellEnd"/>
      <w:r>
        <w:rPr>
          <w:rFonts w:ascii="Arial" w:hAnsi="Arial" w:cs="Arial"/>
          <w:i/>
          <w:iCs/>
          <w:highlight w:val="cyan"/>
        </w:rPr>
        <w:t xml:space="preserve"> </w:t>
      </w:r>
      <w:proofErr w:type="spellStart"/>
      <w:r>
        <w:rPr>
          <w:rFonts w:ascii="Arial" w:hAnsi="Arial" w:cs="Arial"/>
          <w:i/>
          <w:iCs/>
          <w:highlight w:val="cyan"/>
        </w:rPr>
        <w:t>lze</w:t>
      </w:r>
      <w:proofErr w:type="spellEnd"/>
      <w:r>
        <w:rPr>
          <w:rFonts w:ascii="Arial" w:hAnsi="Arial" w:cs="Arial"/>
          <w:i/>
          <w:iCs/>
          <w:highlight w:val="cyan"/>
        </w:rPr>
        <w:t xml:space="preserve"> </w:t>
      </w:r>
      <w:proofErr w:type="spellStart"/>
      <w:r>
        <w:rPr>
          <w:rFonts w:ascii="Arial" w:hAnsi="Arial" w:cs="Arial"/>
          <w:i/>
          <w:iCs/>
          <w:highlight w:val="cyan"/>
        </w:rPr>
        <w:t>dle</w:t>
      </w:r>
      <w:proofErr w:type="spellEnd"/>
      <w:r>
        <w:rPr>
          <w:rFonts w:ascii="Arial" w:hAnsi="Arial" w:cs="Arial"/>
          <w:i/>
          <w:iCs/>
          <w:highlight w:val="cyan"/>
        </w:rPr>
        <w:t xml:space="preserve"> GFŘ </w:t>
      </w:r>
      <w:proofErr w:type="spellStart"/>
      <w:r>
        <w:rPr>
          <w:rFonts w:ascii="Arial" w:hAnsi="Arial" w:cs="Arial"/>
          <w:i/>
          <w:iCs/>
          <w:highlight w:val="cyan"/>
        </w:rPr>
        <w:t>dovodit</w:t>
      </w:r>
      <w:proofErr w:type="spellEnd"/>
      <w:r>
        <w:rPr>
          <w:rFonts w:ascii="Arial" w:hAnsi="Arial" w:cs="Arial"/>
          <w:i/>
          <w:iCs/>
          <w:highlight w:val="cyan"/>
        </w:rPr>
        <w:t xml:space="preserve">, </w:t>
      </w:r>
      <w:proofErr w:type="spellStart"/>
      <w:r>
        <w:rPr>
          <w:rFonts w:ascii="Arial" w:hAnsi="Arial" w:cs="Arial"/>
          <w:i/>
          <w:iCs/>
          <w:highlight w:val="cyan"/>
        </w:rPr>
        <w:t>že</w:t>
      </w:r>
      <w:bookmarkStart w:id="2" w:name="_Hlk148100469"/>
      <w:proofErr w:type="spellEnd"/>
      <w:r>
        <w:rPr>
          <w:rFonts w:ascii="Arial" w:hAnsi="Arial" w:cs="Arial"/>
          <w:i/>
          <w:iCs/>
          <w:highlight w:val="cyan"/>
        </w:rPr>
        <w:t xml:space="preserve"> </w:t>
      </w:r>
      <w:proofErr w:type="spellStart"/>
      <w:r w:rsidRPr="009A2DD5">
        <w:rPr>
          <w:rFonts w:ascii="Arial" w:hAnsi="Arial" w:cs="Arial"/>
          <w:i/>
          <w:iCs/>
          <w:highlight w:val="cyan"/>
        </w:rPr>
        <w:t>hlavním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smyslem</w:t>
      </w:r>
      <w:proofErr w:type="spellEnd"/>
      <w:r w:rsidRPr="009A2DD5">
        <w:rPr>
          <w:rFonts w:ascii="Arial" w:hAnsi="Arial" w:cs="Arial"/>
          <w:i/>
          <w:iCs/>
          <w:highlight w:val="cyan"/>
        </w:rPr>
        <w:t xml:space="preserve"> </w:t>
      </w:r>
      <w:proofErr w:type="spellStart"/>
      <w:r>
        <w:rPr>
          <w:rFonts w:ascii="Arial" w:hAnsi="Arial" w:cs="Arial"/>
          <w:i/>
          <w:iCs/>
          <w:highlight w:val="cyan"/>
        </w:rPr>
        <w:t>zavedení</w:t>
      </w:r>
      <w:proofErr w:type="spellEnd"/>
      <w:r>
        <w:rPr>
          <w:rFonts w:ascii="Arial" w:hAnsi="Arial" w:cs="Arial"/>
          <w:i/>
          <w:iCs/>
          <w:highlight w:val="cyan"/>
        </w:rPr>
        <w:t xml:space="preserve"> </w:t>
      </w:r>
      <w:proofErr w:type="spellStart"/>
      <w:r w:rsidRPr="009A2DD5">
        <w:rPr>
          <w:rFonts w:ascii="Arial" w:hAnsi="Arial" w:cs="Arial"/>
          <w:i/>
          <w:iCs/>
          <w:highlight w:val="cyan"/>
        </w:rPr>
        <w:t>ustanovení</w:t>
      </w:r>
      <w:proofErr w:type="spellEnd"/>
      <w:r w:rsidRPr="009A2DD5">
        <w:rPr>
          <w:rFonts w:ascii="Arial" w:hAnsi="Arial" w:cs="Arial"/>
          <w:i/>
          <w:iCs/>
          <w:highlight w:val="cyan"/>
        </w:rPr>
        <w:t xml:space="preserve"> §</w:t>
      </w:r>
      <w:r>
        <w:rPr>
          <w:rFonts w:ascii="Arial" w:hAnsi="Arial" w:cs="Arial"/>
          <w:i/>
          <w:iCs/>
          <w:highlight w:val="cyan"/>
        </w:rPr>
        <w:t> </w:t>
      </w:r>
      <w:r w:rsidRPr="009A2DD5">
        <w:rPr>
          <w:rFonts w:ascii="Arial" w:hAnsi="Arial" w:cs="Arial"/>
          <w:i/>
          <w:iCs/>
          <w:highlight w:val="cyan"/>
        </w:rPr>
        <w:t xml:space="preserve">5a </w:t>
      </w:r>
      <w:proofErr w:type="spellStart"/>
      <w:r w:rsidRPr="009A2DD5">
        <w:rPr>
          <w:rFonts w:ascii="Arial" w:hAnsi="Arial" w:cs="Arial"/>
          <w:i/>
          <w:iCs/>
          <w:highlight w:val="cyan"/>
        </w:rPr>
        <w:t>ZoR</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bylo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umožnit</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sektoru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spořitelních</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úvěrních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družstev</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sektoru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ostatních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finančních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institucí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poskytujících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peněžní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prostředky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fyzickým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osobám</w:t>
      </w:r>
      <w:proofErr w:type="spellEnd"/>
      <w:r w:rsidRPr="009A2DD5">
        <w:rPr>
          <w:rFonts w:ascii="Arial" w:hAnsi="Arial" w:cs="Arial"/>
          <w:i/>
          <w:iCs/>
          <w:highlight w:val="cyan"/>
        </w:rPr>
        <w:t xml:space="preserve"> ve </w:t>
      </w:r>
      <w:proofErr w:type="spellStart"/>
      <w:r w:rsidRPr="009A2DD5">
        <w:rPr>
          <w:rFonts w:ascii="Arial" w:hAnsi="Arial" w:cs="Arial"/>
          <w:i/>
          <w:iCs/>
          <w:highlight w:val="cyan"/>
        </w:rPr>
        <w:t>formě</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tvorbu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opravných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položek</w:t>
      </w:r>
      <w:proofErr w:type="spellEnd"/>
      <w:r w:rsidRPr="009A2DD5">
        <w:rPr>
          <w:rFonts w:ascii="Arial" w:hAnsi="Arial" w:cs="Arial"/>
          <w:i/>
          <w:iCs/>
          <w:highlight w:val="cyan"/>
        </w:rPr>
        <w:t xml:space="preserve"> k </w:t>
      </w:r>
      <w:proofErr w:type="spellStart"/>
      <w:r w:rsidRPr="009A2DD5">
        <w:rPr>
          <w:rFonts w:ascii="Arial" w:hAnsi="Arial" w:cs="Arial"/>
          <w:i/>
          <w:iCs/>
          <w:highlight w:val="cyan"/>
        </w:rPr>
        <w:t>pohledávkám</w:t>
      </w:r>
      <w:proofErr w:type="spellEnd"/>
      <w:r w:rsidRPr="009A2DD5">
        <w:rPr>
          <w:rFonts w:ascii="Arial" w:hAnsi="Arial" w:cs="Arial"/>
          <w:i/>
          <w:iCs/>
          <w:highlight w:val="cyan"/>
        </w:rPr>
        <w:t xml:space="preserve"> z</w:t>
      </w:r>
      <w:r>
        <w:rPr>
          <w:rFonts w:ascii="Arial" w:hAnsi="Arial" w:cs="Arial"/>
          <w:i/>
          <w:iCs/>
          <w:highlight w:val="cyan"/>
        </w:rPr>
        <w:t> </w:t>
      </w:r>
      <w:proofErr w:type="spellStart"/>
      <w:r>
        <w:rPr>
          <w:rFonts w:ascii="Arial" w:hAnsi="Arial" w:cs="Arial"/>
          <w:i/>
          <w:iCs/>
          <w:highlight w:val="cyan"/>
        </w:rPr>
        <w:t>těchto</w:t>
      </w:r>
      <w:proofErr w:type="spellEnd"/>
      <w:r>
        <w:rPr>
          <w:rFonts w:ascii="Arial" w:hAnsi="Arial" w:cs="Arial"/>
          <w:i/>
          <w:iCs/>
          <w:highlight w:val="cyan"/>
        </w:rPr>
        <w:t xml:space="preserve"> </w:t>
      </w:r>
      <w:proofErr w:type="spellStart"/>
      <w:r w:rsidRPr="009A2DD5">
        <w:rPr>
          <w:rFonts w:ascii="Arial" w:hAnsi="Arial" w:cs="Arial"/>
          <w:i/>
          <w:iCs/>
          <w:highlight w:val="cyan"/>
        </w:rPr>
        <w:t>úvěrů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výdaj</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vynaložen</w:t>
      </w:r>
      <w:r>
        <w:rPr>
          <w:rFonts w:ascii="Arial" w:hAnsi="Arial" w:cs="Arial"/>
          <w:i/>
          <w:iCs/>
          <w:highlight w:val="cyan"/>
        </w:rPr>
        <w:t>ý</w:t>
      </w:r>
      <w:proofErr w:type="spellEnd"/>
      <w:r>
        <w:rPr>
          <w:rFonts w:ascii="Arial" w:hAnsi="Arial" w:cs="Arial"/>
          <w:i/>
          <w:iCs/>
          <w:highlight w:val="cyan"/>
        </w:rPr>
        <w:br/>
      </w:r>
      <w:proofErr w:type="spellStart"/>
      <w:r w:rsidRPr="009A2DD5">
        <w:rPr>
          <w:rFonts w:ascii="Arial" w:hAnsi="Arial" w:cs="Arial"/>
          <w:i/>
          <w:iCs/>
          <w:highlight w:val="cyan"/>
        </w:rPr>
        <w:t>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dosažení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zajištění</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udržení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příjmů</w:t>
      </w:r>
      <w:proofErr w:type="spellEnd"/>
      <w:r w:rsidRPr="009A2DD5">
        <w:rPr>
          <w:rFonts w:ascii="Arial" w:hAnsi="Arial" w:cs="Arial"/>
          <w:i/>
          <w:iCs/>
          <w:highlight w:val="cyan"/>
        </w:rPr>
        <w:t>.</w:t>
      </w:r>
      <w:r>
        <w:rPr>
          <w:rFonts w:ascii="Arial" w:hAnsi="Arial" w:cs="Arial"/>
          <w:i/>
          <w:iCs/>
          <w:highlight w:val="cyan"/>
        </w:rPr>
        <w:t xml:space="preserve"> </w:t>
      </w:r>
      <w:proofErr w:type="spellStart"/>
      <w:r>
        <w:rPr>
          <w:rFonts w:ascii="Arial" w:hAnsi="Arial" w:cs="Arial"/>
          <w:i/>
          <w:iCs/>
          <w:highlight w:val="cyan"/>
        </w:rPr>
        <w:t>D</w:t>
      </w:r>
      <w:r w:rsidRPr="009A2DD5">
        <w:rPr>
          <w:rFonts w:ascii="Arial" w:hAnsi="Arial" w:cs="Arial"/>
          <w:i/>
          <w:iCs/>
          <w:highlight w:val="cyan"/>
        </w:rPr>
        <w:t>ůvodem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této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právní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úpravy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bylo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zejména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zrovnoprávnění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podmínek</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trhu</w:t>
      </w:r>
      <w:proofErr w:type="spellEnd"/>
      <w:r w:rsidRPr="009A2DD5">
        <w:rPr>
          <w:rFonts w:ascii="Arial" w:hAnsi="Arial" w:cs="Arial"/>
          <w:i/>
          <w:iCs/>
          <w:highlight w:val="cyan"/>
        </w:rPr>
        <w:t xml:space="preserve"> u </w:t>
      </w:r>
      <w:proofErr w:type="spellStart"/>
      <w:r w:rsidRPr="009A2DD5">
        <w:rPr>
          <w:rFonts w:ascii="Arial" w:hAnsi="Arial" w:cs="Arial"/>
          <w:i/>
          <w:iCs/>
          <w:highlight w:val="cyan"/>
        </w:rPr>
        <w:t>subjektů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poskytujících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jako</w:t>
      </w:r>
      <w:proofErr w:type="spellEnd"/>
      <w:r w:rsidRPr="009A2DD5">
        <w:rPr>
          <w:rFonts w:ascii="Arial" w:hAnsi="Arial" w:cs="Arial"/>
          <w:i/>
          <w:iCs/>
          <w:highlight w:val="cyan"/>
        </w:rPr>
        <w:t xml:space="preserve"> </w:t>
      </w:r>
      <w:proofErr w:type="spellStart"/>
      <w:r>
        <w:rPr>
          <w:rFonts w:ascii="Arial" w:hAnsi="Arial" w:cs="Arial"/>
          <w:i/>
          <w:iCs/>
          <w:highlight w:val="cyan"/>
        </w:rPr>
        <w:t>převažující</w:t>
      </w:r>
      <w:proofErr w:type="spellEnd"/>
      <w:r>
        <w:rPr>
          <w:rFonts w:ascii="Arial" w:hAnsi="Arial" w:cs="Arial"/>
          <w:i/>
          <w:iCs/>
          <w:highlight w:val="cyan"/>
        </w:rPr>
        <w:t xml:space="preserve"> </w:t>
      </w:r>
      <w:proofErr w:type="spellStart"/>
      <w:r w:rsidRPr="009A2DD5">
        <w:rPr>
          <w:rFonts w:ascii="Arial" w:hAnsi="Arial" w:cs="Arial"/>
          <w:i/>
          <w:iCs/>
          <w:highlight w:val="cyan"/>
        </w:rPr>
        <w:t>předmět</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svého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podnikání</w:t>
      </w:r>
      <w:proofErr w:type="spellEnd"/>
      <w:r>
        <w:rPr>
          <w:rFonts w:ascii="Arial" w:hAnsi="Arial" w:cs="Arial"/>
          <w:i/>
          <w:iCs/>
          <w:highlight w:val="cyan"/>
        </w:rPr>
        <w:t xml:space="preserve"> (ve </w:t>
      </w:r>
      <w:proofErr w:type="spellStart"/>
      <w:r>
        <w:rPr>
          <w:rFonts w:ascii="Arial" w:hAnsi="Arial" w:cs="Arial"/>
          <w:i/>
          <w:iCs/>
          <w:highlight w:val="cyan"/>
        </w:rPr>
        <w:t>srovnání</w:t>
      </w:r>
      <w:proofErr w:type="spellEnd"/>
      <w:r>
        <w:rPr>
          <w:rFonts w:ascii="Arial" w:hAnsi="Arial" w:cs="Arial"/>
          <w:i/>
          <w:iCs/>
          <w:highlight w:val="cyan"/>
        </w:rPr>
        <w:t xml:space="preserve"> s </w:t>
      </w:r>
      <w:proofErr w:type="spellStart"/>
      <w:r>
        <w:rPr>
          <w:rFonts w:ascii="Arial" w:hAnsi="Arial" w:cs="Arial"/>
          <w:i/>
          <w:iCs/>
          <w:highlight w:val="cyan"/>
        </w:rPr>
        <w:t>bankami</w:t>
      </w:r>
      <w:proofErr w:type="spellEnd"/>
      <w:r>
        <w:rPr>
          <w:rFonts w:ascii="Arial" w:hAnsi="Arial" w:cs="Arial"/>
          <w:i/>
          <w:iCs/>
          <w:highlight w:val="cyan"/>
        </w:rPr>
        <w:t>).</w:t>
      </w:r>
    </w:p>
    <w:p w14:paraId="55BBB15B" w14:textId="77777777" w:rsidR="005E4E00" w:rsidRDefault="005E4E00" w:rsidP="005E4E00">
      <w:pPr>
        <w:jc w:val="both"/>
        <w:rPr>
          <w:rFonts w:ascii="Arial" w:hAnsi="Arial" w:cs="Arial"/>
          <w:i/>
          <w:iCs/>
          <w:highlight w:val="cyan"/>
        </w:rPr>
      </w:pPr>
    </w:p>
    <w:p w14:paraId="1C8FCAB9" w14:textId="77777777" w:rsidR="005E4E00" w:rsidRPr="008C09F1" w:rsidRDefault="005E4E00" w:rsidP="005E4E00">
      <w:pPr>
        <w:jc w:val="both"/>
        <w:rPr>
          <w:rFonts w:ascii="Arial" w:hAnsi="Arial" w:cs="Arial"/>
          <w:i/>
          <w:iCs/>
          <w:highlight w:val="cyan"/>
        </w:rPr>
      </w:pPr>
      <w:proofErr w:type="spellStart"/>
      <w:r>
        <w:rPr>
          <w:rFonts w:ascii="Arial" w:hAnsi="Arial" w:cs="Arial"/>
          <w:i/>
          <w:iCs/>
          <w:highlight w:val="cyan"/>
        </w:rPr>
        <w:t>Ustanovení</w:t>
      </w:r>
      <w:proofErr w:type="spellEnd"/>
      <w:r>
        <w:rPr>
          <w:rFonts w:ascii="Arial" w:hAnsi="Arial" w:cs="Arial"/>
          <w:i/>
          <w:iCs/>
          <w:highlight w:val="cyan"/>
        </w:rPr>
        <w:t xml:space="preserve"> § 5a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tak</w:t>
      </w:r>
      <w:proofErr w:type="spellEnd"/>
      <w:r>
        <w:rPr>
          <w:rFonts w:ascii="Arial" w:hAnsi="Arial" w:cs="Arial"/>
          <w:i/>
          <w:iCs/>
          <w:highlight w:val="cyan"/>
        </w:rPr>
        <w:t xml:space="preserve"> </w:t>
      </w:r>
      <w:proofErr w:type="spellStart"/>
      <w:r>
        <w:rPr>
          <w:rFonts w:ascii="Arial" w:hAnsi="Arial" w:cs="Arial"/>
          <w:i/>
          <w:iCs/>
          <w:highlight w:val="cyan"/>
        </w:rPr>
        <w:t>umožnilo</w:t>
      </w:r>
      <w:proofErr w:type="spellEnd"/>
      <w:r>
        <w:rPr>
          <w:rFonts w:ascii="Arial" w:hAnsi="Arial" w:cs="Arial"/>
          <w:i/>
          <w:iCs/>
          <w:highlight w:val="cyan"/>
        </w:rPr>
        <w:t xml:space="preserve"> </w:t>
      </w:r>
      <w:proofErr w:type="spellStart"/>
      <w:r w:rsidRPr="009A2DD5">
        <w:rPr>
          <w:rFonts w:ascii="Arial" w:hAnsi="Arial" w:cs="Arial"/>
          <w:i/>
          <w:iCs/>
          <w:highlight w:val="cyan"/>
        </w:rPr>
        <w:t>spořitelním</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úvěrním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družstvům</w:t>
      </w:r>
      <w:proofErr w:type="spellEnd"/>
      <w:r w:rsidRPr="009A2DD5">
        <w:rPr>
          <w:rFonts w:ascii="Arial" w:hAnsi="Arial" w:cs="Arial"/>
          <w:i/>
          <w:iCs/>
          <w:highlight w:val="cyan"/>
        </w:rPr>
        <w:t xml:space="preserve"> a </w:t>
      </w:r>
      <w:r>
        <w:rPr>
          <w:rFonts w:ascii="Arial" w:hAnsi="Arial" w:cs="Arial"/>
          <w:i/>
          <w:iCs/>
          <w:highlight w:val="cyan"/>
        </w:rPr>
        <w:t>„</w:t>
      </w:r>
      <w:proofErr w:type="spellStart"/>
      <w:r w:rsidRPr="009A2DD5">
        <w:rPr>
          <w:rFonts w:ascii="Arial" w:hAnsi="Arial" w:cs="Arial"/>
          <w:i/>
          <w:iCs/>
          <w:highlight w:val="cyan"/>
        </w:rPr>
        <w:t>ostatním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finančním</w:t>
      </w:r>
      <w:proofErr w:type="spellEnd"/>
      <w:r w:rsidRPr="009A2DD5">
        <w:rPr>
          <w:rFonts w:ascii="Arial" w:hAnsi="Arial" w:cs="Arial"/>
          <w:i/>
          <w:iCs/>
          <w:highlight w:val="cyan"/>
        </w:rPr>
        <w:t xml:space="preserve"> </w:t>
      </w:r>
      <w:proofErr w:type="spellStart"/>
      <w:proofErr w:type="gramStart"/>
      <w:r w:rsidRPr="009A2DD5">
        <w:rPr>
          <w:rFonts w:ascii="Arial" w:hAnsi="Arial" w:cs="Arial"/>
          <w:i/>
          <w:iCs/>
          <w:highlight w:val="cyan"/>
        </w:rPr>
        <w:t>institucím</w:t>
      </w:r>
      <w:proofErr w:type="spellEnd"/>
      <w:r>
        <w:rPr>
          <w:rFonts w:ascii="Arial" w:hAnsi="Arial" w:cs="Arial"/>
          <w:i/>
          <w:iCs/>
          <w:highlight w:val="cyan"/>
        </w:rPr>
        <w:t>“</w:t>
      </w:r>
      <w:r w:rsidRPr="009A2DD5">
        <w:rPr>
          <w:rFonts w:ascii="Arial" w:hAnsi="Arial" w:cs="Arial"/>
          <w:i/>
          <w:iCs/>
          <w:highlight w:val="cyan"/>
        </w:rPr>
        <w:t xml:space="preserve"> (</w:t>
      </w:r>
      <w:proofErr w:type="spellStart"/>
      <w:proofErr w:type="gramEnd"/>
      <w:r w:rsidRPr="009A2DD5">
        <w:rPr>
          <w:rFonts w:ascii="Arial" w:hAnsi="Arial" w:cs="Arial"/>
          <w:i/>
          <w:iCs/>
          <w:highlight w:val="cyan"/>
        </w:rPr>
        <w:t>což</w:t>
      </w:r>
      <w:proofErr w:type="spellEnd"/>
      <w:r w:rsidRPr="009A2DD5">
        <w:rPr>
          <w:rFonts w:ascii="Arial" w:hAnsi="Arial" w:cs="Arial"/>
          <w:i/>
          <w:iCs/>
          <w:highlight w:val="cyan"/>
        </w:rPr>
        <w:t xml:space="preserve"> </w:t>
      </w:r>
      <w:proofErr w:type="spellStart"/>
      <w:r>
        <w:rPr>
          <w:rFonts w:ascii="Arial" w:hAnsi="Arial" w:cs="Arial"/>
          <w:i/>
          <w:iCs/>
          <w:highlight w:val="cyan"/>
        </w:rPr>
        <w:t>byly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především</w:t>
      </w:r>
      <w:proofErr w:type="spellEnd"/>
      <w:r>
        <w:rPr>
          <w:rFonts w:ascii="Arial" w:hAnsi="Arial" w:cs="Arial"/>
          <w:i/>
          <w:iCs/>
          <w:highlight w:val="cyan"/>
        </w:rPr>
        <w:t xml:space="preserve"> </w:t>
      </w:r>
      <w:proofErr w:type="spellStart"/>
      <w:r>
        <w:rPr>
          <w:rFonts w:ascii="Arial" w:hAnsi="Arial" w:cs="Arial"/>
          <w:i/>
          <w:iCs/>
          <w:highlight w:val="cyan"/>
        </w:rPr>
        <w:t>další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nebankovní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subjekty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poskytující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zejména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spotřebitelské</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úvěry</w:t>
      </w:r>
      <w:proofErr w:type="spellEnd"/>
      <w:r>
        <w:rPr>
          <w:rFonts w:ascii="Arial" w:hAnsi="Arial" w:cs="Arial"/>
          <w:i/>
          <w:iCs/>
          <w:highlight w:val="cyan"/>
        </w:rPr>
        <w:t>)</w:t>
      </w:r>
      <w:r w:rsidRPr="009A2DD5">
        <w:rPr>
          <w:rFonts w:ascii="Arial" w:hAnsi="Arial" w:cs="Arial"/>
          <w:i/>
          <w:iCs/>
          <w:highlight w:val="cyan"/>
        </w:rPr>
        <w:t xml:space="preserve"> </w:t>
      </w:r>
      <w:proofErr w:type="spellStart"/>
      <w:r>
        <w:rPr>
          <w:rFonts w:ascii="Arial" w:hAnsi="Arial" w:cs="Arial"/>
          <w:i/>
          <w:iCs/>
          <w:highlight w:val="cyan"/>
        </w:rPr>
        <w:t>vytvářet</w:t>
      </w:r>
      <w:proofErr w:type="spellEnd"/>
      <w:r>
        <w:rPr>
          <w:rFonts w:ascii="Arial" w:hAnsi="Arial" w:cs="Arial"/>
          <w:i/>
          <w:iCs/>
          <w:highlight w:val="cyan"/>
        </w:rPr>
        <w:t xml:space="preserve"> </w:t>
      </w:r>
      <w:proofErr w:type="spellStart"/>
      <w:r w:rsidRPr="009A2DD5">
        <w:rPr>
          <w:rFonts w:ascii="Arial" w:hAnsi="Arial" w:cs="Arial"/>
          <w:i/>
          <w:iCs/>
          <w:highlight w:val="cyan"/>
        </w:rPr>
        <w:t>daňově</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uznatelné</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opravné</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položky</w:t>
      </w:r>
      <w:proofErr w:type="spellEnd"/>
      <w:r w:rsidRPr="009A2DD5">
        <w:rPr>
          <w:rFonts w:ascii="Arial" w:hAnsi="Arial" w:cs="Arial"/>
          <w:i/>
          <w:iCs/>
          <w:highlight w:val="cyan"/>
        </w:rPr>
        <w:t xml:space="preserve"> k </w:t>
      </w:r>
      <w:proofErr w:type="spellStart"/>
      <w:r w:rsidRPr="009A2DD5">
        <w:rPr>
          <w:rFonts w:ascii="Arial" w:hAnsi="Arial" w:cs="Arial"/>
          <w:i/>
          <w:iCs/>
          <w:highlight w:val="cyan"/>
        </w:rPr>
        <w:t>úvěrovým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pohledávkám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poskytnutým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fyzickým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osobám</w:t>
      </w:r>
      <w:proofErr w:type="spellEnd"/>
      <w:r>
        <w:rPr>
          <w:rFonts w:ascii="Arial" w:hAnsi="Arial" w:cs="Arial"/>
          <w:i/>
          <w:iCs/>
          <w:highlight w:val="cyan"/>
        </w:rPr>
        <w:t xml:space="preserve">. </w:t>
      </w:r>
      <w:proofErr w:type="spellStart"/>
      <w:r>
        <w:rPr>
          <w:rFonts w:ascii="Arial" w:hAnsi="Arial" w:cs="Arial"/>
          <w:i/>
          <w:iCs/>
          <w:highlight w:val="cyan"/>
        </w:rPr>
        <w:t>Vzhledem</w:t>
      </w:r>
      <w:proofErr w:type="spellEnd"/>
      <w:r>
        <w:rPr>
          <w:rFonts w:ascii="Arial" w:hAnsi="Arial" w:cs="Arial"/>
          <w:i/>
          <w:iCs/>
          <w:highlight w:val="cyan"/>
        </w:rPr>
        <w:t xml:space="preserve"> k </w:t>
      </w:r>
      <w:proofErr w:type="spellStart"/>
      <w:r>
        <w:rPr>
          <w:rFonts w:ascii="Arial" w:hAnsi="Arial" w:cs="Arial"/>
          <w:i/>
          <w:iCs/>
          <w:highlight w:val="cyan"/>
        </w:rPr>
        <w:t>tomu</w:t>
      </w:r>
      <w:proofErr w:type="spellEnd"/>
      <w:r>
        <w:rPr>
          <w:rFonts w:ascii="Arial" w:hAnsi="Arial" w:cs="Arial"/>
          <w:i/>
          <w:iCs/>
          <w:highlight w:val="cyan"/>
        </w:rPr>
        <w:t xml:space="preserve">, </w:t>
      </w:r>
      <w:proofErr w:type="spellStart"/>
      <w:r>
        <w:rPr>
          <w:rFonts w:ascii="Arial" w:hAnsi="Arial" w:cs="Arial"/>
          <w:i/>
          <w:iCs/>
          <w:highlight w:val="cyan"/>
        </w:rPr>
        <w:t>že</w:t>
      </w:r>
      <w:proofErr w:type="spellEnd"/>
      <w:r>
        <w:rPr>
          <w:rFonts w:ascii="Arial" w:hAnsi="Arial" w:cs="Arial"/>
          <w:i/>
          <w:iCs/>
          <w:highlight w:val="cyan"/>
        </w:rPr>
        <w:t xml:space="preserve"> </w:t>
      </w:r>
      <w:proofErr w:type="spellStart"/>
      <w:r>
        <w:rPr>
          <w:rFonts w:ascii="Arial" w:hAnsi="Arial" w:cs="Arial"/>
          <w:i/>
          <w:iCs/>
          <w:highlight w:val="cyan"/>
        </w:rPr>
        <w:t>možnost</w:t>
      </w:r>
      <w:proofErr w:type="spellEnd"/>
      <w:r>
        <w:rPr>
          <w:rFonts w:ascii="Arial" w:hAnsi="Arial" w:cs="Arial"/>
          <w:i/>
          <w:iCs/>
          <w:highlight w:val="cyan"/>
        </w:rPr>
        <w:t xml:space="preserve"> </w:t>
      </w:r>
      <w:proofErr w:type="spellStart"/>
      <w:r>
        <w:rPr>
          <w:rFonts w:ascii="Arial" w:hAnsi="Arial" w:cs="Arial"/>
          <w:i/>
          <w:iCs/>
          <w:highlight w:val="cyan"/>
        </w:rPr>
        <w:t>tvorby</w:t>
      </w:r>
      <w:proofErr w:type="spellEnd"/>
      <w:r>
        <w:rPr>
          <w:rFonts w:ascii="Arial" w:hAnsi="Arial" w:cs="Arial"/>
          <w:i/>
          <w:iCs/>
          <w:highlight w:val="cyan"/>
        </w:rPr>
        <w:t xml:space="preserve"> </w:t>
      </w:r>
      <w:proofErr w:type="spellStart"/>
      <w:r>
        <w:rPr>
          <w:rFonts w:ascii="Arial" w:hAnsi="Arial" w:cs="Arial"/>
          <w:i/>
          <w:iCs/>
          <w:highlight w:val="cyan"/>
        </w:rPr>
        <w:t>opravných</w:t>
      </w:r>
      <w:proofErr w:type="spellEnd"/>
      <w:r>
        <w:rPr>
          <w:rFonts w:ascii="Arial" w:hAnsi="Arial" w:cs="Arial"/>
          <w:i/>
          <w:iCs/>
          <w:highlight w:val="cyan"/>
        </w:rPr>
        <w:t xml:space="preserve"> </w:t>
      </w:r>
      <w:proofErr w:type="spellStart"/>
      <w:r>
        <w:rPr>
          <w:rFonts w:ascii="Arial" w:hAnsi="Arial" w:cs="Arial"/>
          <w:i/>
          <w:iCs/>
          <w:highlight w:val="cyan"/>
        </w:rPr>
        <w:t>položek</w:t>
      </w:r>
      <w:proofErr w:type="spellEnd"/>
      <w:r>
        <w:rPr>
          <w:rFonts w:ascii="Arial" w:hAnsi="Arial" w:cs="Arial"/>
          <w:i/>
          <w:iCs/>
          <w:highlight w:val="cyan"/>
        </w:rPr>
        <w:t xml:space="preserve"> k </w:t>
      </w:r>
      <w:proofErr w:type="spellStart"/>
      <w:r>
        <w:rPr>
          <w:rFonts w:ascii="Arial" w:hAnsi="Arial" w:cs="Arial"/>
          <w:i/>
          <w:iCs/>
          <w:highlight w:val="cyan"/>
        </w:rPr>
        <w:t>pohledávkám</w:t>
      </w:r>
      <w:proofErr w:type="spellEnd"/>
      <w:r>
        <w:rPr>
          <w:rFonts w:ascii="Arial" w:hAnsi="Arial" w:cs="Arial"/>
          <w:i/>
          <w:iCs/>
          <w:highlight w:val="cyan"/>
        </w:rPr>
        <w:t xml:space="preserve"> z </w:t>
      </w:r>
      <w:proofErr w:type="spellStart"/>
      <w:r>
        <w:rPr>
          <w:rFonts w:ascii="Arial" w:hAnsi="Arial" w:cs="Arial"/>
          <w:i/>
          <w:iCs/>
          <w:highlight w:val="cyan"/>
        </w:rPr>
        <w:t>úvěrů</w:t>
      </w:r>
      <w:proofErr w:type="spellEnd"/>
      <w:r>
        <w:rPr>
          <w:rFonts w:ascii="Arial" w:hAnsi="Arial" w:cs="Arial"/>
          <w:i/>
          <w:iCs/>
          <w:highlight w:val="cyan"/>
        </w:rPr>
        <w:t xml:space="preserve"> </w:t>
      </w:r>
      <w:proofErr w:type="spellStart"/>
      <w:r>
        <w:rPr>
          <w:rFonts w:ascii="Arial" w:hAnsi="Arial" w:cs="Arial"/>
          <w:i/>
          <w:iCs/>
          <w:highlight w:val="cyan"/>
        </w:rPr>
        <w:t>byla</w:t>
      </w:r>
      <w:proofErr w:type="spellEnd"/>
      <w:r>
        <w:rPr>
          <w:rFonts w:ascii="Arial" w:hAnsi="Arial" w:cs="Arial"/>
          <w:i/>
          <w:iCs/>
          <w:highlight w:val="cyan"/>
        </w:rPr>
        <w:t xml:space="preserve"> </w:t>
      </w:r>
      <w:proofErr w:type="spellStart"/>
      <w:r>
        <w:rPr>
          <w:rFonts w:ascii="Arial" w:hAnsi="Arial" w:cs="Arial"/>
          <w:i/>
          <w:iCs/>
          <w:highlight w:val="cyan"/>
        </w:rPr>
        <w:t>zavedením</w:t>
      </w:r>
      <w:proofErr w:type="spellEnd"/>
      <w:r>
        <w:rPr>
          <w:rFonts w:ascii="Arial" w:hAnsi="Arial" w:cs="Arial"/>
          <w:i/>
          <w:iCs/>
          <w:highlight w:val="cyan"/>
        </w:rPr>
        <w:t xml:space="preserve"> § 5a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umožněna</w:t>
      </w:r>
      <w:proofErr w:type="spellEnd"/>
      <w:r>
        <w:rPr>
          <w:rFonts w:ascii="Arial" w:hAnsi="Arial" w:cs="Arial"/>
          <w:i/>
          <w:iCs/>
          <w:highlight w:val="cyan"/>
        </w:rPr>
        <w:br/>
        <w:t xml:space="preserve">i </w:t>
      </w:r>
      <w:proofErr w:type="spellStart"/>
      <w:r>
        <w:rPr>
          <w:rFonts w:ascii="Arial" w:hAnsi="Arial" w:cs="Arial"/>
          <w:i/>
          <w:iCs/>
          <w:highlight w:val="cyan"/>
        </w:rPr>
        <w:t>neregulovaným</w:t>
      </w:r>
      <w:proofErr w:type="spellEnd"/>
      <w:r>
        <w:rPr>
          <w:rFonts w:ascii="Arial" w:hAnsi="Arial" w:cs="Arial"/>
          <w:i/>
          <w:iCs/>
          <w:highlight w:val="cyan"/>
        </w:rPr>
        <w:t xml:space="preserve"> </w:t>
      </w:r>
      <w:proofErr w:type="spellStart"/>
      <w:r>
        <w:rPr>
          <w:rFonts w:ascii="Arial" w:hAnsi="Arial" w:cs="Arial"/>
          <w:i/>
          <w:iCs/>
          <w:highlight w:val="cyan"/>
        </w:rPr>
        <w:t>nebankovním</w:t>
      </w:r>
      <w:proofErr w:type="spellEnd"/>
      <w:r>
        <w:rPr>
          <w:rFonts w:ascii="Arial" w:hAnsi="Arial" w:cs="Arial"/>
          <w:i/>
          <w:iCs/>
          <w:highlight w:val="cyan"/>
        </w:rPr>
        <w:t xml:space="preserve"> </w:t>
      </w:r>
      <w:proofErr w:type="spellStart"/>
      <w:r>
        <w:rPr>
          <w:rFonts w:ascii="Arial" w:hAnsi="Arial" w:cs="Arial"/>
          <w:i/>
          <w:iCs/>
          <w:highlight w:val="cyan"/>
        </w:rPr>
        <w:t>institucím</w:t>
      </w:r>
      <w:proofErr w:type="spellEnd"/>
      <w:r>
        <w:rPr>
          <w:rFonts w:ascii="Arial" w:hAnsi="Arial" w:cs="Arial"/>
          <w:i/>
          <w:iCs/>
          <w:highlight w:val="cyan"/>
        </w:rPr>
        <w:t xml:space="preserve">, </w:t>
      </w:r>
      <w:proofErr w:type="spellStart"/>
      <w:r>
        <w:rPr>
          <w:rFonts w:ascii="Arial" w:hAnsi="Arial" w:cs="Arial"/>
          <w:i/>
          <w:iCs/>
          <w:highlight w:val="cyan"/>
        </w:rPr>
        <w:t>jejichž</w:t>
      </w:r>
      <w:proofErr w:type="spellEnd"/>
      <w:r>
        <w:rPr>
          <w:rFonts w:ascii="Arial" w:hAnsi="Arial" w:cs="Arial"/>
          <w:i/>
          <w:iCs/>
          <w:highlight w:val="cyan"/>
        </w:rPr>
        <w:t xml:space="preserve"> </w:t>
      </w:r>
      <w:proofErr w:type="spellStart"/>
      <w:r>
        <w:rPr>
          <w:rFonts w:ascii="Arial" w:hAnsi="Arial" w:cs="Arial"/>
          <w:i/>
          <w:iCs/>
          <w:highlight w:val="cyan"/>
        </w:rPr>
        <w:t>činnost</w:t>
      </w:r>
      <w:proofErr w:type="spellEnd"/>
      <w:r>
        <w:rPr>
          <w:rFonts w:ascii="Arial" w:hAnsi="Arial" w:cs="Arial"/>
          <w:i/>
          <w:iCs/>
          <w:highlight w:val="cyan"/>
        </w:rPr>
        <w:t xml:space="preserve"> </w:t>
      </w:r>
      <w:proofErr w:type="spellStart"/>
      <w:r>
        <w:rPr>
          <w:rFonts w:ascii="Arial" w:hAnsi="Arial" w:cs="Arial"/>
          <w:i/>
          <w:iCs/>
          <w:highlight w:val="cyan"/>
        </w:rPr>
        <w:t>nebyla</w:t>
      </w:r>
      <w:proofErr w:type="spellEnd"/>
      <w:r>
        <w:rPr>
          <w:rFonts w:ascii="Arial" w:hAnsi="Arial" w:cs="Arial"/>
          <w:i/>
          <w:iCs/>
          <w:highlight w:val="cyan"/>
        </w:rPr>
        <w:t xml:space="preserve"> v </w:t>
      </w:r>
      <w:proofErr w:type="spellStart"/>
      <w:r>
        <w:rPr>
          <w:rFonts w:ascii="Arial" w:hAnsi="Arial" w:cs="Arial"/>
          <w:i/>
          <w:iCs/>
          <w:highlight w:val="cyan"/>
        </w:rPr>
        <w:t>době</w:t>
      </w:r>
      <w:proofErr w:type="spellEnd"/>
      <w:r>
        <w:rPr>
          <w:rFonts w:ascii="Arial" w:hAnsi="Arial" w:cs="Arial"/>
          <w:i/>
          <w:iCs/>
          <w:highlight w:val="cyan"/>
        </w:rPr>
        <w:t xml:space="preserve"> </w:t>
      </w:r>
      <w:proofErr w:type="spellStart"/>
      <w:r>
        <w:rPr>
          <w:rFonts w:ascii="Arial" w:hAnsi="Arial" w:cs="Arial"/>
          <w:i/>
          <w:iCs/>
          <w:highlight w:val="cyan"/>
        </w:rPr>
        <w:t>přijetí</w:t>
      </w:r>
      <w:proofErr w:type="spellEnd"/>
      <w:r>
        <w:rPr>
          <w:rFonts w:ascii="Arial" w:hAnsi="Arial" w:cs="Arial"/>
          <w:i/>
          <w:iCs/>
          <w:highlight w:val="cyan"/>
        </w:rPr>
        <w:t xml:space="preserve"> </w:t>
      </w:r>
      <w:proofErr w:type="spellStart"/>
      <w:r>
        <w:rPr>
          <w:rFonts w:ascii="Arial" w:hAnsi="Arial" w:cs="Arial"/>
          <w:i/>
          <w:iCs/>
          <w:highlight w:val="cyan"/>
        </w:rPr>
        <w:t>pozměňovacího</w:t>
      </w:r>
      <w:proofErr w:type="spellEnd"/>
      <w:r>
        <w:rPr>
          <w:rFonts w:ascii="Arial" w:hAnsi="Arial" w:cs="Arial"/>
          <w:i/>
          <w:iCs/>
          <w:highlight w:val="cyan"/>
        </w:rPr>
        <w:t xml:space="preserve"> </w:t>
      </w:r>
      <w:proofErr w:type="spellStart"/>
      <w:r>
        <w:rPr>
          <w:rFonts w:ascii="Arial" w:hAnsi="Arial" w:cs="Arial"/>
          <w:i/>
          <w:iCs/>
          <w:highlight w:val="cyan"/>
        </w:rPr>
        <w:t>návrhu</w:t>
      </w:r>
      <w:proofErr w:type="spellEnd"/>
      <w:r>
        <w:rPr>
          <w:rFonts w:ascii="Arial" w:hAnsi="Arial" w:cs="Arial"/>
          <w:i/>
          <w:iCs/>
          <w:highlight w:val="cyan"/>
        </w:rPr>
        <w:t xml:space="preserve"> </w:t>
      </w:r>
      <w:proofErr w:type="spellStart"/>
      <w:r>
        <w:rPr>
          <w:rFonts w:ascii="Arial" w:hAnsi="Arial" w:cs="Arial"/>
          <w:i/>
          <w:iCs/>
          <w:highlight w:val="cyan"/>
        </w:rPr>
        <w:t>upravena</w:t>
      </w:r>
      <w:proofErr w:type="spellEnd"/>
      <w:r>
        <w:rPr>
          <w:rFonts w:ascii="Arial" w:hAnsi="Arial" w:cs="Arial"/>
          <w:i/>
          <w:iCs/>
          <w:highlight w:val="cyan"/>
        </w:rPr>
        <w:t xml:space="preserve"> </w:t>
      </w:r>
      <w:proofErr w:type="spellStart"/>
      <w:r>
        <w:rPr>
          <w:rFonts w:ascii="Arial" w:hAnsi="Arial" w:cs="Arial"/>
          <w:i/>
          <w:iCs/>
          <w:highlight w:val="cyan"/>
        </w:rPr>
        <w:t>jiným</w:t>
      </w:r>
      <w:proofErr w:type="spellEnd"/>
      <w:r>
        <w:rPr>
          <w:rFonts w:ascii="Arial" w:hAnsi="Arial" w:cs="Arial"/>
          <w:i/>
          <w:iCs/>
          <w:highlight w:val="cyan"/>
        </w:rPr>
        <w:t xml:space="preserve"> </w:t>
      </w:r>
      <w:proofErr w:type="spellStart"/>
      <w:r>
        <w:rPr>
          <w:rFonts w:ascii="Arial" w:hAnsi="Arial" w:cs="Arial"/>
          <w:i/>
          <w:iCs/>
          <w:highlight w:val="cyan"/>
        </w:rPr>
        <w:t>právním</w:t>
      </w:r>
      <w:proofErr w:type="spellEnd"/>
      <w:r>
        <w:rPr>
          <w:rFonts w:ascii="Arial" w:hAnsi="Arial" w:cs="Arial"/>
          <w:i/>
          <w:iCs/>
          <w:highlight w:val="cyan"/>
        </w:rPr>
        <w:t xml:space="preserve"> </w:t>
      </w:r>
      <w:proofErr w:type="spellStart"/>
      <w:r w:rsidRPr="008C09F1">
        <w:rPr>
          <w:rFonts w:ascii="Arial" w:hAnsi="Arial" w:cs="Arial"/>
          <w:i/>
          <w:iCs/>
          <w:highlight w:val="cyan"/>
        </w:rPr>
        <w:t>předpisem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byl</w:t>
      </w:r>
      <w:r>
        <w:rPr>
          <w:rFonts w:ascii="Arial" w:hAnsi="Arial" w:cs="Arial"/>
          <w:i/>
          <w:iCs/>
          <w:highlight w:val="cyan"/>
        </w:rPr>
        <w:t>o</w:t>
      </w:r>
      <w:proofErr w:type="spellEnd"/>
      <w:r>
        <w:rPr>
          <w:rFonts w:ascii="Arial" w:hAnsi="Arial" w:cs="Arial"/>
          <w:i/>
          <w:iCs/>
          <w:highlight w:val="cyan"/>
        </w:rPr>
        <w:t xml:space="preserve"> </w:t>
      </w:r>
      <w:proofErr w:type="spellStart"/>
      <w:r>
        <w:rPr>
          <w:rFonts w:ascii="Arial" w:hAnsi="Arial" w:cs="Arial"/>
          <w:i/>
          <w:iCs/>
          <w:highlight w:val="cyan"/>
        </w:rPr>
        <w:t>třeba</w:t>
      </w:r>
      <w:proofErr w:type="spellEnd"/>
      <w:r>
        <w:rPr>
          <w:rFonts w:ascii="Arial" w:hAnsi="Arial" w:cs="Arial"/>
          <w:i/>
          <w:iCs/>
          <w:highlight w:val="cyan"/>
        </w:rPr>
        <w:t xml:space="preserve"> </w:t>
      </w:r>
      <w:proofErr w:type="spellStart"/>
      <w:r>
        <w:rPr>
          <w:rFonts w:ascii="Arial" w:hAnsi="Arial" w:cs="Arial"/>
          <w:i/>
          <w:iCs/>
          <w:highlight w:val="cyan"/>
        </w:rPr>
        <w:t>tyto</w:t>
      </w:r>
      <w:proofErr w:type="spellEnd"/>
      <w:r>
        <w:rPr>
          <w:rFonts w:ascii="Arial" w:hAnsi="Arial" w:cs="Arial"/>
          <w:i/>
          <w:iCs/>
          <w:highlight w:val="cyan"/>
        </w:rPr>
        <w:t xml:space="preserve"> </w:t>
      </w:r>
      <w:r>
        <w:rPr>
          <w:rFonts w:ascii="Arial" w:hAnsi="Arial" w:cs="Arial"/>
          <w:i/>
          <w:iCs/>
          <w:highlight w:val="cyan"/>
        </w:rPr>
        <w:br/>
      </w:r>
      <w:proofErr w:type="spellStart"/>
      <w:r>
        <w:rPr>
          <w:rFonts w:ascii="Arial" w:hAnsi="Arial" w:cs="Arial"/>
          <w:i/>
          <w:iCs/>
          <w:highlight w:val="cyan"/>
        </w:rPr>
        <w:lastRenderedPageBreak/>
        <w:t>tzv</w:t>
      </w:r>
      <w:proofErr w:type="spellEnd"/>
      <w:r>
        <w:rPr>
          <w:rFonts w:ascii="Arial" w:hAnsi="Arial" w:cs="Arial"/>
          <w:i/>
          <w:iCs/>
          <w:highlight w:val="cyan"/>
        </w:rPr>
        <w:t>. „</w:t>
      </w:r>
      <w:proofErr w:type="spellStart"/>
      <w:r>
        <w:rPr>
          <w:rFonts w:ascii="Arial" w:hAnsi="Arial" w:cs="Arial"/>
          <w:i/>
          <w:iCs/>
          <w:highlight w:val="cyan"/>
        </w:rPr>
        <w:t>ostatní</w:t>
      </w:r>
      <w:proofErr w:type="spellEnd"/>
      <w:r>
        <w:rPr>
          <w:rFonts w:ascii="Arial" w:hAnsi="Arial" w:cs="Arial"/>
          <w:i/>
          <w:iCs/>
          <w:highlight w:val="cyan"/>
        </w:rPr>
        <w:t xml:space="preserve"> </w:t>
      </w:r>
      <w:proofErr w:type="spellStart"/>
      <w:r>
        <w:rPr>
          <w:rFonts w:ascii="Arial" w:hAnsi="Arial" w:cs="Arial"/>
          <w:i/>
          <w:iCs/>
          <w:highlight w:val="cyan"/>
        </w:rPr>
        <w:t>finanční</w:t>
      </w:r>
      <w:proofErr w:type="spellEnd"/>
      <w:r>
        <w:rPr>
          <w:rFonts w:ascii="Arial" w:hAnsi="Arial" w:cs="Arial"/>
          <w:i/>
          <w:iCs/>
          <w:highlight w:val="cyan"/>
        </w:rPr>
        <w:t xml:space="preserve"> </w:t>
      </w:r>
      <w:proofErr w:type="spellStart"/>
      <w:proofErr w:type="gramStart"/>
      <w:r>
        <w:rPr>
          <w:rFonts w:ascii="Arial" w:hAnsi="Arial" w:cs="Arial"/>
          <w:i/>
          <w:iCs/>
          <w:highlight w:val="cyan"/>
        </w:rPr>
        <w:t>instituce</w:t>
      </w:r>
      <w:proofErr w:type="spellEnd"/>
      <w:r>
        <w:rPr>
          <w:rFonts w:ascii="Arial" w:hAnsi="Arial" w:cs="Arial"/>
          <w:i/>
          <w:iCs/>
          <w:highlight w:val="cyan"/>
        </w:rPr>
        <w:t xml:space="preserve">“ </w:t>
      </w:r>
      <w:r w:rsidRPr="008C09F1">
        <w:rPr>
          <w:rFonts w:ascii="Arial" w:hAnsi="Arial" w:cs="Arial"/>
          <w:i/>
          <w:iCs/>
          <w:highlight w:val="cyan"/>
        </w:rPr>
        <w:t>pro</w:t>
      </w:r>
      <w:proofErr w:type="gramEnd"/>
      <w:r w:rsidRPr="008C09F1">
        <w:rPr>
          <w:rFonts w:ascii="Arial" w:hAnsi="Arial" w:cs="Arial"/>
          <w:i/>
          <w:iCs/>
          <w:highlight w:val="cyan"/>
        </w:rPr>
        <w:t xml:space="preserve"> </w:t>
      </w:r>
      <w:proofErr w:type="spellStart"/>
      <w:r w:rsidRPr="008C09F1">
        <w:rPr>
          <w:rFonts w:ascii="Arial" w:hAnsi="Arial" w:cs="Arial"/>
          <w:i/>
          <w:iCs/>
          <w:highlight w:val="cyan"/>
        </w:rPr>
        <w:t>účely</w:t>
      </w:r>
      <w:proofErr w:type="spellEnd"/>
      <w:r w:rsidRPr="008C09F1">
        <w:rPr>
          <w:rFonts w:ascii="Arial" w:hAnsi="Arial" w:cs="Arial"/>
          <w:i/>
          <w:iCs/>
          <w:highlight w:val="cyan"/>
        </w:rPr>
        <w:t xml:space="preserve"> </w:t>
      </w:r>
      <w:proofErr w:type="spellStart"/>
      <w:r>
        <w:rPr>
          <w:rFonts w:ascii="Arial" w:hAnsi="Arial" w:cs="Arial"/>
          <w:i/>
          <w:iCs/>
          <w:highlight w:val="cyan"/>
        </w:rPr>
        <w:t>aplikace</w:t>
      </w:r>
      <w:proofErr w:type="spellEnd"/>
      <w:r>
        <w:rPr>
          <w:rFonts w:ascii="Arial" w:hAnsi="Arial" w:cs="Arial"/>
          <w:i/>
          <w:iCs/>
          <w:highlight w:val="cyan"/>
        </w:rPr>
        <w:t xml:space="preserve"> </w:t>
      </w:r>
      <w:r w:rsidRPr="008C09F1">
        <w:rPr>
          <w:rFonts w:ascii="Arial" w:hAnsi="Arial" w:cs="Arial"/>
          <w:i/>
          <w:iCs/>
          <w:highlight w:val="cyan"/>
        </w:rPr>
        <w:t xml:space="preserve">§ 5a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sidRPr="008C09F1">
        <w:rPr>
          <w:rFonts w:ascii="Arial" w:hAnsi="Arial" w:cs="Arial"/>
          <w:i/>
          <w:iCs/>
          <w:highlight w:val="cyan"/>
        </w:rPr>
        <w:t>vymez</w:t>
      </w:r>
      <w:r>
        <w:rPr>
          <w:rFonts w:ascii="Arial" w:hAnsi="Arial" w:cs="Arial"/>
          <w:i/>
          <w:iCs/>
          <w:highlight w:val="cyan"/>
        </w:rPr>
        <w:t>it</w:t>
      </w:r>
      <w:proofErr w:type="spellEnd"/>
      <w:r>
        <w:rPr>
          <w:rFonts w:ascii="Arial" w:hAnsi="Arial" w:cs="Arial"/>
          <w:i/>
          <w:iCs/>
          <w:highlight w:val="cyan"/>
        </w:rPr>
        <w:t xml:space="preserve">. Toto </w:t>
      </w:r>
      <w:proofErr w:type="spellStart"/>
      <w:r>
        <w:rPr>
          <w:rFonts w:ascii="Arial" w:hAnsi="Arial" w:cs="Arial"/>
          <w:i/>
          <w:iCs/>
          <w:highlight w:val="cyan"/>
        </w:rPr>
        <w:t>vymezení</w:t>
      </w:r>
      <w:proofErr w:type="spellEnd"/>
      <w:r>
        <w:rPr>
          <w:rFonts w:ascii="Arial" w:hAnsi="Arial" w:cs="Arial"/>
          <w:i/>
          <w:iCs/>
          <w:highlight w:val="cyan"/>
        </w:rPr>
        <w:t xml:space="preserve"> </w:t>
      </w:r>
      <w:proofErr w:type="spellStart"/>
      <w:r>
        <w:rPr>
          <w:rFonts w:ascii="Arial" w:hAnsi="Arial" w:cs="Arial"/>
          <w:i/>
          <w:iCs/>
          <w:highlight w:val="cyan"/>
        </w:rPr>
        <w:t>bylo</w:t>
      </w:r>
      <w:proofErr w:type="spellEnd"/>
      <w:r>
        <w:rPr>
          <w:rFonts w:ascii="Arial" w:hAnsi="Arial" w:cs="Arial"/>
          <w:i/>
          <w:iCs/>
          <w:highlight w:val="cyan"/>
        </w:rPr>
        <w:t xml:space="preserve"> </w:t>
      </w:r>
      <w:proofErr w:type="spellStart"/>
      <w:r>
        <w:rPr>
          <w:rFonts w:ascii="Arial" w:hAnsi="Arial" w:cs="Arial"/>
          <w:i/>
          <w:iCs/>
          <w:highlight w:val="cyan"/>
        </w:rPr>
        <w:t>upraveno</w:t>
      </w:r>
      <w:proofErr w:type="spellEnd"/>
      <w:r>
        <w:rPr>
          <w:rFonts w:ascii="Arial" w:hAnsi="Arial" w:cs="Arial"/>
          <w:i/>
          <w:iCs/>
          <w:highlight w:val="cyan"/>
        </w:rPr>
        <w:t xml:space="preserve"> </w:t>
      </w:r>
      <w:r w:rsidRPr="008C09F1">
        <w:rPr>
          <w:rFonts w:ascii="Arial" w:hAnsi="Arial" w:cs="Arial"/>
          <w:i/>
          <w:iCs/>
          <w:highlight w:val="cyan"/>
        </w:rPr>
        <w:t>v </w:t>
      </w:r>
      <w:r>
        <w:rPr>
          <w:rFonts w:ascii="Arial" w:hAnsi="Arial" w:cs="Arial"/>
          <w:i/>
          <w:iCs/>
          <w:highlight w:val="cyan"/>
        </w:rPr>
        <w:t xml:space="preserve">§ 5a </w:t>
      </w:r>
      <w:proofErr w:type="spellStart"/>
      <w:r w:rsidRPr="008C09F1">
        <w:rPr>
          <w:rFonts w:ascii="Arial" w:hAnsi="Arial" w:cs="Arial"/>
          <w:i/>
          <w:iCs/>
          <w:highlight w:val="cyan"/>
        </w:rPr>
        <w:t>odst</w:t>
      </w:r>
      <w:proofErr w:type="spellEnd"/>
      <w:r>
        <w:rPr>
          <w:rFonts w:ascii="Arial" w:hAnsi="Arial" w:cs="Arial"/>
          <w:i/>
          <w:iCs/>
          <w:highlight w:val="cyan"/>
        </w:rPr>
        <w:t>.</w:t>
      </w:r>
      <w:r w:rsidRPr="008C09F1">
        <w:rPr>
          <w:rFonts w:ascii="Arial" w:hAnsi="Arial" w:cs="Arial"/>
          <w:i/>
          <w:iCs/>
          <w:highlight w:val="cyan"/>
        </w:rPr>
        <w:t xml:space="preserve"> 2 </w:t>
      </w:r>
      <w:proofErr w:type="spellStart"/>
      <w:r w:rsidRPr="008C09F1">
        <w:rPr>
          <w:rFonts w:ascii="Arial" w:hAnsi="Arial" w:cs="Arial"/>
          <w:i/>
          <w:iCs/>
          <w:highlight w:val="cyan"/>
        </w:rPr>
        <w:t>takto</w:t>
      </w:r>
      <w:proofErr w:type="spellEnd"/>
    </w:p>
    <w:p w14:paraId="5360ECCE" w14:textId="77777777" w:rsidR="005E4E00" w:rsidRPr="008C09F1" w:rsidRDefault="005E4E00" w:rsidP="005E4E00">
      <w:pPr>
        <w:jc w:val="both"/>
        <w:rPr>
          <w:rFonts w:ascii="Arial" w:hAnsi="Arial" w:cs="Arial"/>
          <w:i/>
          <w:iCs/>
          <w:highlight w:val="cyan"/>
        </w:rPr>
      </w:pPr>
    </w:p>
    <w:p w14:paraId="48696D42" w14:textId="77777777" w:rsidR="005E4E00" w:rsidRPr="008C09F1" w:rsidRDefault="005E4E00" w:rsidP="005E4E00">
      <w:pPr>
        <w:ind w:left="567"/>
        <w:jc w:val="both"/>
        <w:rPr>
          <w:rFonts w:ascii="Arial" w:hAnsi="Arial" w:cs="Arial"/>
          <w:i/>
          <w:iCs/>
          <w:highlight w:val="cyan"/>
        </w:rPr>
      </w:pPr>
      <w:proofErr w:type="gramStart"/>
      <w:r w:rsidRPr="008C09F1">
        <w:rPr>
          <w:rFonts w:ascii="Arial" w:hAnsi="Arial" w:cs="Arial"/>
          <w:i/>
          <w:iCs/>
          <w:highlight w:val="cyan"/>
        </w:rPr>
        <w:t>„(</w:t>
      </w:r>
      <w:proofErr w:type="gramEnd"/>
      <w:r w:rsidRPr="008C09F1">
        <w:rPr>
          <w:rFonts w:ascii="Arial" w:hAnsi="Arial" w:cs="Arial"/>
          <w:i/>
          <w:iCs/>
          <w:highlight w:val="cyan"/>
        </w:rPr>
        <w:t xml:space="preserve">2) </w:t>
      </w:r>
      <w:proofErr w:type="spellStart"/>
      <w:r w:rsidRPr="008C09F1">
        <w:rPr>
          <w:rFonts w:ascii="Arial" w:hAnsi="Arial" w:cs="Arial"/>
          <w:i/>
          <w:iCs/>
          <w:highlight w:val="cyan"/>
        </w:rPr>
        <w:t>Ostatními</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finančními</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institucemi</w:t>
      </w:r>
      <w:proofErr w:type="spellEnd"/>
      <w:r w:rsidRPr="008C09F1">
        <w:rPr>
          <w:rFonts w:ascii="Arial" w:hAnsi="Arial" w:cs="Arial"/>
          <w:i/>
          <w:iCs/>
          <w:highlight w:val="cyan"/>
        </w:rPr>
        <w:t xml:space="preserve"> se pro </w:t>
      </w:r>
      <w:proofErr w:type="spellStart"/>
      <w:r w:rsidRPr="008C09F1">
        <w:rPr>
          <w:rFonts w:ascii="Arial" w:hAnsi="Arial" w:cs="Arial"/>
          <w:i/>
          <w:iCs/>
          <w:highlight w:val="cyan"/>
        </w:rPr>
        <w:t>účely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tohoto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zákona</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rozumějí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právnické</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osoby</w:t>
      </w:r>
      <w:proofErr w:type="spellEnd"/>
      <w:r w:rsidRPr="008C09F1">
        <w:rPr>
          <w:rFonts w:ascii="Arial" w:hAnsi="Arial" w:cs="Arial"/>
          <w:i/>
          <w:iCs/>
          <w:highlight w:val="cyan"/>
        </w:rPr>
        <w:t xml:space="preserve"> za </w:t>
      </w:r>
      <w:proofErr w:type="spellStart"/>
      <w:r w:rsidRPr="008C09F1">
        <w:rPr>
          <w:rFonts w:ascii="Arial" w:hAnsi="Arial" w:cs="Arial"/>
          <w:i/>
          <w:iCs/>
          <w:highlight w:val="cyan"/>
        </w:rPr>
        <w:t>současného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splnění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těchto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podmínek</w:t>
      </w:r>
      <w:proofErr w:type="spellEnd"/>
      <w:r w:rsidRPr="008C09F1">
        <w:rPr>
          <w:rFonts w:ascii="Arial" w:hAnsi="Arial" w:cs="Arial"/>
          <w:i/>
          <w:iCs/>
          <w:highlight w:val="cyan"/>
        </w:rPr>
        <w:t xml:space="preserve">: </w:t>
      </w:r>
    </w:p>
    <w:p w14:paraId="0F914F53" w14:textId="77777777" w:rsidR="005E4E00" w:rsidRPr="008C09F1" w:rsidRDefault="005E4E00" w:rsidP="005E4E00">
      <w:pPr>
        <w:ind w:left="567"/>
        <w:jc w:val="both"/>
        <w:rPr>
          <w:rFonts w:ascii="Arial" w:hAnsi="Arial" w:cs="Arial"/>
          <w:i/>
          <w:iCs/>
          <w:highlight w:val="cyan"/>
        </w:rPr>
      </w:pPr>
      <w:r w:rsidRPr="008C09F1">
        <w:rPr>
          <w:rFonts w:ascii="Arial" w:hAnsi="Arial" w:cs="Arial"/>
          <w:i/>
          <w:iCs/>
          <w:highlight w:val="cyan"/>
        </w:rPr>
        <w:t xml:space="preserve">a) </w:t>
      </w:r>
      <w:proofErr w:type="spellStart"/>
      <w:r w:rsidRPr="008C09F1">
        <w:rPr>
          <w:rFonts w:ascii="Arial" w:hAnsi="Arial" w:cs="Arial"/>
          <w:i/>
          <w:iCs/>
          <w:highlight w:val="cyan"/>
        </w:rPr>
        <w:t>poskytují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úvěry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jako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své</w:t>
      </w:r>
      <w:proofErr w:type="spellEnd"/>
      <w:r w:rsidRPr="008C09F1">
        <w:rPr>
          <w:rFonts w:ascii="Arial" w:hAnsi="Arial" w:cs="Arial"/>
          <w:i/>
          <w:iCs/>
          <w:highlight w:val="cyan"/>
        </w:rPr>
        <w:t xml:space="preserve"> podnikání</w:t>
      </w:r>
      <w:r w:rsidRPr="008C09F1">
        <w:rPr>
          <w:rFonts w:ascii="Arial" w:hAnsi="Arial" w:cs="Arial"/>
          <w:i/>
          <w:iCs/>
          <w:highlight w:val="cyan"/>
          <w:vertAlign w:val="superscript"/>
        </w:rPr>
        <w:t>6f)</w:t>
      </w:r>
      <w:r w:rsidRPr="008C09F1">
        <w:rPr>
          <w:rFonts w:ascii="Arial" w:hAnsi="Arial" w:cs="Arial"/>
          <w:i/>
          <w:iCs/>
          <w:highlight w:val="cyan"/>
        </w:rPr>
        <w:t xml:space="preserve"> </w:t>
      </w:r>
      <w:proofErr w:type="spellStart"/>
      <w:r w:rsidRPr="008C09F1">
        <w:rPr>
          <w:rFonts w:ascii="Arial" w:hAnsi="Arial" w:cs="Arial"/>
          <w:i/>
          <w:iCs/>
          <w:highlight w:val="cyan"/>
        </w:rPr>
        <w:t>na</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základě</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živnostenského</w:t>
      </w:r>
      <w:proofErr w:type="spellEnd"/>
      <w:r w:rsidRPr="008C09F1">
        <w:rPr>
          <w:rFonts w:ascii="Arial" w:hAnsi="Arial" w:cs="Arial"/>
          <w:i/>
          <w:iCs/>
          <w:highlight w:val="cyan"/>
        </w:rPr>
        <w:t xml:space="preserve"> oprávnění</w:t>
      </w:r>
      <w:r w:rsidRPr="008C09F1">
        <w:rPr>
          <w:rFonts w:ascii="Arial" w:hAnsi="Arial" w:cs="Arial"/>
          <w:i/>
          <w:iCs/>
          <w:highlight w:val="cyan"/>
          <w:vertAlign w:val="superscript"/>
        </w:rPr>
        <w:t>6g)</w:t>
      </w:r>
      <w:r w:rsidRPr="008C09F1">
        <w:rPr>
          <w:rFonts w:ascii="Arial" w:hAnsi="Arial" w:cs="Arial"/>
          <w:i/>
          <w:iCs/>
          <w:highlight w:val="cyan"/>
        </w:rPr>
        <w:t xml:space="preserve"> k </w:t>
      </w:r>
      <w:proofErr w:type="spellStart"/>
      <w:r w:rsidRPr="008C09F1">
        <w:rPr>
          <w:rFonts w:ascii="Arial" w:hAnsi="Arial" w:cs="Arial"/>
          <w:i/>
          <w:iCs/>
          <w:highlight w:val="cyan"/>
        </w:rPr>
        <w:t>této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činnosti</w:t>
      </w:r>
      <w:proofErr w:type="spellEnd"/>
      <w:r w:rsidRPr="008C09F1">
        <w:rPr>
          <w:rFonts w:ascii="Arial" w:hAnsi="Arial" w:cs="Arial"/>
          <w:i/>
          <w:iCs/>
          <w:highlight w:val="cyan"/>
        </w:rPr>
        <w:t xml:space="preserve">,   </w:t>
      </w:r>
    </w:p>
    <w:p w14:paraId="549CEE87" w14:textId="77777777" w:rsidR="005E4E00" w:rsidRPr="008C09F1" w:rsidRDefault="005E4E00" w:rsidP="005E4E00">
      <w:pPr>
        <w:ind w:left="567"/>
        <w:jc w:val="both"/>
        <w:rPr>
          <w:rFonts w:ascii="Arial" w:hAnsi="Arial" w:cs="Arial"/>
          <w:i/>
          <w:iCs/>
          <w:highlight w:val="cyan"/>
        </w:rPr>
      </w:pPr>
      <w:r w:rsidRPr="008C09F1">
        <w:rPr>
          <w:rFonts w:ascii="Arial" w:hAnsi="Arial" w:cs="Arial"/>
          <w:i/>
          <w:iCs/>
          <w:highlight w:val="cyan"/>
        </w:rPr>
        <w:t xml:space="preserve">b) </w:t>
      </w:r>
      <w:proofErr w:type="spellStart"/>
      <w:r w:rsidRPr="008C09F1">
        <w:rPr>
          <w:rFonts w:ascii="Arial" w:hAnsi="Arial" w:cs="Arial"/>
          <w:i/>
          <w:iCs/>
          <w:highlight w:val="cyan"/>
          <w:u w:val="single"/>
        </w:rPr>
        <w:t>úrokové</w:t>
      </w:r>
      <w:proofErr w:type="spellEnd"/>
      <w:r w:rsidRPr="008C09F1">
        <w:rPr>
          <w:rFonts w:ascii="Arial" w:hAnsi="Arial" w:cs="Arial"/>
          <w:i/>
          <w:iCs/>
          <w:highlight w:val="cyan"/>
          <w:u w:val="single"/>
        </w:rPr>
        <w:t xml:space="preserve"> </w:t>
      </w:r>
      <w:proofErr w:type="spellStart"/>
      <w:r w:rsidRPr="008C09F1">
        <w:rPr>
          <w:rFonts w:ascii="Arial" w:hAnsi="Arial" w:cs="Arial"/>
          <w:i/>
          <w:iCs/>
          <w:highlight w:val="cyan"/>
          <w:u w:val="single"/>
        </w:rPr>
        <w:t>výnosy</w:t>
      </w:r>
      <w:proofErr w:type="spellEnd"/>
      <w:r w:rsidRPr="008C09F1">
        <w:rPr>
          <w:rFonts w:ascii="Arial" w:hAnsi="Arial" w:cs="Arial"/>
          <w:i/>
          <w:iCs/>
          <w:highlight w:val="cyan"/>
          <w:u w:val="single"/>
        </w:rPr>
        <w:t xml:space="preserve">, </w:t>
      </w:r>
      <w:proofErr w:type="spellStart"/>
      <w:r w:rsidRPr="008C09F1">
        <w:rPr>
          <w:rFonts w:ascii="Arial" w:hAnsi="Arial" w:cs="Arial"/>
          <w:i/>
          <w:iCs/>
          <w:highlight w:val="cyan"/>
          <w:u w:val="single"/>
        </w:rPr>
        <w:t>včetně</w:t>
      </w:r>
      <w:proofErr w:type="spellEnd"/>
      <w:r w:rsidRPr="008C09F1">
        <w:rPr>
          <w:rFonts w:ascii="Arial" w:hAnsi="Arial" w:cs="Arial"/>
          <w:i/>
          <w:iCs/>
          <w:highlight w:val="cyan"/>
          <w:u w:val="single"/>
        </w:rPr>
        <w:t xml:space="preserve"> </w:t>
      </w:r>
      <w:proofErr w:type="spellStart"/>
      <w:r w:rsidRPr="008C09F1">
        <w:rPr>
          <w:rFonts w:ascii="Arial" w:hAnsi="Arial" w:cs="Arial"/>
          <w:i/>
          <w:iCs/>
          <w:highlight w:val="cyan"/>
          <w:u w:val="single"/>
        </w:rPr>
        <w:t>úroků</w:t>
      </w:r>
      <w:proofErr w:type="spellEnd"/>
      <w:r w:rsidRPr="008C09F1">
        <w:rPr>
          <w:rFonts w:ascii="Arial" w:hAnsi="Arial" w:cs="Arial"/>
          <w:i/>
          <w:iCs/>
          <w:highlight w:val="cyan"/>
          <w:u w:val="single"/>
        </w:rPr>
        <w:t xml:space="preserve"> z </w:t>
      </w:r>
      <w:proofErr w:type="spellStart"/>
      <w:r w:rsidRPr="008C09F1">
        <w:rPr>
          <w:rFonts w:ascii="Arial" w:hAnsi="Arial" w:cs="Arial"/>
          <w:i/>
          <w:iCs/>
          <w:highlight w:val="cyan"/>
          <w:u w:val="single"/>
        </w:rPr>
        <w:t>prodlení</w:t>
      </w:r>
      <w:proofErr w:type="spellEnd"/>
      <w:r w:rsidRPr="008C09F1">
        <w:rPr>
          <w:rFonts w:ascii="Arial" w:hAnsi="Arial" w:cs="Arial"/>
          <w:i/>
          <w:iCs/>
          <w:highlight w:val="cyan"/>
          <w:u w:val="single"/>
        </w:rPr>
        <w:t xml:space="preserve">, z </w:t>
      </w:r>
      <w:proofErr w:type="spellStart"/>
      <w:r w:rsidRPr="008C09F1">
        <w:rPr>
          <w:rFonts w:ascii="Arial" w:hAnsi="Arial" w:cs="Arial"/>
          <w:i/>
          <w:iCs/>
          <w:highlight w:val="cyan"/>
          <w:u w:val="single"/>
        </w:rPr>
        <w:t>poskytnutých</w:t>
      </w:r>
      <w:proofErr w:type="spellEnd"/>
      <w:r w:rsidRPr="008C09F1">
        <w:rPr>
          <w:rFonts w:ascii="Arial" w:hAnsi="Arial" w:cs="Arial"/>
          <w:i/>
          <w:iCs/>
          <w:highlight w:val="cyan"/>
          <w:u w:val="single"/>
        </w:rPr>
        <w:t xml:space="preserve"> </w:t>
      </w:r>
      <w:proofErr w:type="spellStart"/>
      <w:r w:rsidRPr="008C09F1">
        <w:rPr>
          <w:rFonts w:ascii="Arial" w:hAnsi="Arial" w:cs="Arial"/>
          <w:i/>
          <w:iCs/>
          <w:highlight w:val="cyan"/>
          <w:u w:val="single"/>
        </w:rPr>
        <w:t>úvěrů</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podle</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odstavce</w:t>
      </w:r>
      <w:proofErr w:type="spellEnd"/>
      <w:r w:rsidRPr="008C09F1">
        <w:rPr>
          <w:rFonts w:ascii="Arial" w:hAnsi="Arial" w:cs="Arial"/>
          <w:i/>
          <w:iCs/>
          <w:highlight w:val="cyan"/>
        </w:rPr>
        <w:t xml:space="preserve"> 1 u</w:t>
      </w:r>
      <w:r>
        <w:rPr>
          <w:rFonts w:ascii="Arial" w:hAnsi="Arial" w:cs="Arial"/>
          <w:i/>
          <w:iCs/>
          <w:highlight w:val="cyan"/>
        </w:rPr>
        <w:t> </w:t>
      </w:r>
      <w:proofErr w:type="spellStart"/>
      <w:r w:rsidRPr="008C09F1">
        <w:rPr>
          <w:rFonts w:ascii="Arial" w:hAnsi="Arial" w:cs="Arial"/>
          <w:i/>
          <w:iCs/>
          <w:highlight w:val="cyan"/>
        </w:rPr>
        <w:t>nich</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dosáhnou</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alespoň</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jedné</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poloviny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celkových</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výnosů</w:t>
      </w:r>
      <w:proofErr w:type="spellEnd"/>
      <w:r w:rsidRPr="008C09F1">
        <w:rPr>
          <w:rFonts w:ascii="Arial" w:hAnsi="Arial" w:cs="Arial"/>
          <w:i/>
          <w:iCs/>
          <w:highlight w:val="cyan"/>
        </w:rPr>
        <w:t xml:space="preserve"> v </w:t>
      </w:r>
      <w:proofErr w:type="spellStart"/>
      <w:r w:rsidRPr="008C09F1">
        <w:rPr>
          <w:rFonts w:ascii="Arial" w:hAnsi="Arial" w:cs="Arial"/>
          <w:i/>
          <w:iCs/>
          <w:highlight w:val="cyan"/>
        </w:rPr>
        <w:t>příslušném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zdaňovacím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období</w:t>
      </w:r>
      <w:proofErr w:type="spellEnd"/>
      <w:r w:rsidRPr="008C09F1">
        <w:rPr>
          <w:rFonts w:ascii="Arial" w:hAnsi="Arial" w:cs="Arial"/>
          <w:i/>
          <w:iCs/>
          <w:highlight w:val="cyan"/>
        </w:rPr>
        <w:t xml:space="preserve">,  </w:t>
      </w:r>
    </w:p>
    <w:p w14:paraId="2377A6E8" w14:textId="77777777" w:rsidR="005E4E00" w:rsidRPr="008C09F1" w:rsidRDefault="005E4E00" w:rsidP="005E4E00">
      <w:pPr>
        <w:ind w:left="567"/>
        <w:jc w:val="both"/>
        <w:rPr>
          <w:rFonts w:ascii="Arial" w:hAnsi="Arial" w:cs="Arial"/>
          <w:i/>
          <w:iCs/>
          <w:highlight w:val="cyan"/>
        </w:rPr>
      </w:pPr>
      <w:r w:rsidRPr="008C09F1">
        <w:rPr>
          <w:rFonts w:ascii="Arial" w:hAnsi="Arial" w:cs="Arial"/>
          <w:i/>
          <w:iCs/>
          <w:highlight w:val="cyan"/>
        </w:rPr>
        <w:t xml:space="preserve">c)  </w:t>
      </w:r>
      <w:proofErr w:type="spellStart"/>
      <w:r w:rsidRPr="008C09F1">
        <w:rPr>
          <w:rFonts w:ascii="Arial" w:hAnsi="Arial" w:cs="Arial"/>
          <w:i/>
          <w:iCs/>
          <w:highlight w:val="cyan"/>
        </w:rPr>
        <w:t>jejich</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základní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kapitál</w:t>
      </w:r>
      <w:proofErr w:type="spellEnd"/>
      <w:r w:rsidRPr="008C09F1">
        <w:rPr>
          <w:rFonts w:ascii="Arial" w:hAnsi="Arial" w:cs="Arial"/>
          <w:i/>
          <w:iCs/>
          <w:highlight w:val="cyan"/>
        </w:rPr>
        <w:t xml:space="preserve"> k </w:t>
      </w:r>
      <w:proofErr w:type="spellStart"/>
      <w:r w:rsidRPr="008C09F1">
        <w:rPr>
          <w:rFonts w:ascii="Arial" w:hAnsi="Arial" w:cs="Arial"/>
          <w:i/>
          <w:iCs/>
          <w:highlight w:val="cyan"/>
        </w:rPr>
        <w:t>poslednímu</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dni</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zdaňovacího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období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činí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alespoň</w:t>
      </w:r>
      <w:proofErr w:type="spellEnd"/>
      <w:r w:rsidRPr="008C09F1">
        <w:rPr>
          <w:rFonts w:ascii="Arial" w:hAnsi="Arial" w:cs="Arial"/>
          <w:i/>
          <w:iCs/>
          <w:highlight w:val="cyan"/>
        </w:rPr>
        <w:t xml:space="preserve"> 2</w:t>
      </w:r>
      <w:r>
        <w:rPr>
          <w:rFonts w:ascii="Arial" w:hAnsi="Arial" w:cs="Arial"/>
          <w:i/>
          <w:iCs/>
          <w:highlight w:val="cyan"/>
        </w:rPr>
        <w:t> </w:t>
      </w:r>
      <w:r w:rsidRPr="008C09F1">
        <w:rPr>
          <w:rFonts w:ascii="Arial" w:hAnsi="Arial" w:cs="Arial"/>
          <w:i/>
          <w:iCs/>
          <w:highlight w:val="cyan"/>
        </w:rPr>
        <w:t xml:space="preserve">000 000 </w:t>
      </w:r>
      <w:proofErr w:type="spellStart"/>
      <w:r w:rsidRPr="008C09F1">
        <w:rPr>
          <w:rFonts w:ascii="Arial" w:hAnsi="Arial" w:cs="Arial"/>
          <w:i/>
          <w:iCs/>
          <w:highlight w:val="cyan"/>
        </w:rPr>
        <w:t>Kč</w:t>
      </w:r>
      <w:proofErr w:type="spellEnd"/>
      <w:r w:rsidRPr="008C09F1">
        <w:rPr>
          <w:rFonts w:ascii="Arial" w:hAnsi="Arial" w:cs="Arial"/>
          <w:i/>
          <w:iCs/>
          <w:highlight w:val="cyan"/>
        </w:rPr>
        <w:t xml:space="preserve">.            </w:t>
      </w:r>
    </w:p>
    <w:p w14:paraId="404AE168" w14:textId="77777777" w:rsidR="005E4E00" w:rsidRPr="008C09F1" w:rsidRDefault="005E4E00" w:rsidP="005E4E00">
      <w:pPr>
        <w:ind w:left="567"/>
        <w:jc w:val="both"/>
        <w:rPr>
          <w:rFonts w:ascii="Arial" w:hAnsi="Arial" w:cs="Arial"/>
          <w:i/>
          <w:iCs/>
          <w:highlight w:val="cyan"/>
        </w:rPr>
      </w:pPr>
      <w:proofErr w:type="spellStart"/>
      <w:r w:rsidRPr="008C09F1">
        <w:rPr>
          <w:rFonts w:ascii="Arial" w:hAnsi="Arial" w:cs="Arial"/>
          <w:i/>
          <w:iCs/>
          <w:highlight w:val="cyan"/>
        </w:rPr>
        <w:t>Výnosy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podle</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písm</w:t>
      </w:r>
      <w:proofErr w:type="spellEnd"/>
      <w:r w:rsidRPr="008C09F1">
        <w:rPr>
          <w:rFonts w:ascii="Arial" w:hAnsi="Arial" w:cs="Arial"/>
          <w:i/>
          <w:iCs/>
          <w:highlight w:val="cyan"/>
        </w:rPr>
        <w:t xml:space="preserve">. b) se </w:t>
      </w:r>
      <w:proofErr w:type="spellStart"/>
      <w:r w:rsidRPr="008C09F1">
        <w:rPr>
          <w:rFonts w:ascii="Arial" w:hAnsi="Arial" w:cs="Arial"/>
          <w:i/>
          <w:iCs/>
          <w:highlight w:val="cyan"/>
        </w:rPr>
        <w:t>rozumí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výnosy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zaúčtované</w:t>
      </w:r>
      <w:proofErr w:type="spellEnd"/>
      <w:r w:rsidRPr="008C09F1">
        <w:rPr>
          <w:rFonts w:ascii="Arial" w:hAnsi="Arial" w:cs="Arial"/>
          <w:i/>
          <w:iCs/>
          <w:highlight w:val="cyan"/>
        </w:rPr>
        <w:t xml:space="preserve"> v </w:t>
      </w:r>
      <w:proofErr w:type="spellStart"/>
      <w:r w:rsidRPr="008C09F1">
        <w:rPr>
          <w:rFonts w:ascii="Arial" w:hAnsi="Arial" w:cs="Arial"/>
          <w:i/>
          <w:iCs/>
          <w:highlight w:val="cyan"/>
        </w:rPr>
        <w:t>souladu</w:t>
      </w:r>
      <w:proofErr w:type="spellEnd"/>
      <w:r w:rsidRPr="008C09F1">
        <w:rPr>
          <w:rFonts w:ascii="Arial" w:hAnsi="Arial" w:cs="Arial"/>
          <w:i/>
          <w:iCs/>
          <w:highlight w:val="cyan"/>
        </w:rPr>
        <w:t xml:space="preserve"> se </w:t>
      </w:r>
      <w:proofErr w:type="spellStart"/>
      <w:r w:rsidRPr="008C09F1">
        <w:rPr>
          <w:rFonts w:ascii="Arial" w:hAnsi="Arial" w:cs="Arial"/>
          <w:i/>
          <w:iCs/>
          <w:highlight w:val="cyan"/>
        </w:rPr>
        <w:t>zvláštním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právním</w:t>
      </w:r>
      <w:proofErr w:type="spellEnd"/>
      <w:r w:rsidRPr="008C09F1">
        <w:rPr>
          <w:rFonts w:ascii="Arial" w:hAnsi="Arial" w:cs="Arial"/>
          <w:i/>
          <w:iCs/>
          <w:highlight w:val="cyan"/>
        </w:rPr>
        <w:t xml:space="preserve"> předpisem</w:t>
      </w:r>
      <w:r w:rsidRPr="008C09F1">
        <w:rPr>
          <w:rFonts w:ascii="Arial" w:hAnsi="Arial" w:cs="Arial"/>
          <w:i/>
          <w:iCs/>
          <w:highlight w:val="cyan"/>
          <w:vertAlign w:val="superscript"/>
        </w:rPr>
        <w:t>17)</w:t>
      </w:r>
      <w:r w:rsidRPr="008C09F1">
        <w:rPr>
          <w:rFonts w:ascii="Arial" w:hAnsi="Arial" w:cs="Arial"/>
          <w:i/>
          <w:iCs/>
          <w:highlight w:val="cyan"/>
        </w:rPr>
        <w:t xml:space="preserve">. </w:t>
      </w:r>
      <w:proofErr w:type="spellStart"/>
      <w:r w:rsidRPr="008C09F1">
        <w:rPr>
          <w:rFonts w:ascii="Arial" w:hAnsi="Arial" w:cs="Arial"/>
          <w:i/>
          <w:iCs/>
          <w:highlight w:val="cyan"/>
        </w:rPr>
        <w:t>Ostatními</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finančními</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institucemi</w:t>
      </w:r>
      <w:proofErr w:type="spellEnd"/>
      <w:r w:rsidRPr="008C09F1">
        <w:rPr>
          <w:rFonts w:ascii="Arial" w:hAnsi="Arial" w:cs="Arial"/>
          <w:i/>
          <w:iCs/>
          <w:highlight w:val="cyan"/>
        </w:rPr>
        <w:t xml:space="preserve"> pro </w:t>
      </w:r>
      <w:proofErr w:type="spellStart"/>
      <w:r w:rsidRPr="008C09F1">
        <w:rPr>
          <w:rFonts w:ascii="Arial" w:hAnsi="Arial" w:cs="Arial"/>
          <w:i/>
          <w:iCs/>
          <w:highlight w:val="cyan"/>
        </w:rPr>
        <w:t>účely</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tohoto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ustanovení</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nejsou</w:t>
      </w:r>
      <w:proofErr w:type="spellEnd"/>
      <w:r w:rsidRPr="008C09F1">
        <w:rPr>
          <w:rFonts w:ascii="Arial" w:hAnsi="Arial" w:cs="Arial"/>
          <w:i/>
          <w:iCs/>
          <w:highlight w:val="cyan"/>
        </w:rPr>
        <w:t xml:space="preserve"> banky</w:t>
      </w:r>
      <w:r w:rsidRPr="008C09F1">
        <w:rPr>
          <w:rFonts w:ascii="Arial" w:hAnsi="Arial" w:cs="Arial"/>
          <w:i/>
          <w:iCs/>
          <w:highlight w:val="cyan"/>
          <w:vertAlign w:val="superscript"/>
        </w:rPr>
        <w:t>4</w:t>
      </w:r>
      <w:proofErr w:type="gramStart"/>
      <w:r w:rsidRPr="008C09F1">
        <w:rPr>
          <w:rFonts w:ascii="Arial" w:hAnsi="Arial" w:cs="Arial"/>
          <w:i/>
          <w:iCs/>
          <w:highlight w:val="cyan"/>
          <w:vertAlign w:val="superscript"/>
        </w:rPr>
        <w:t>)</w:t>
      </w:r>
      <w:r w:rsidRPr="008C09F1">
        <w:rPr>
          <w:rFonts w:ascii="Arial" w:hAnsi="Arial" w:cs="Arial"/>
          <w:i/>
          <w:iCs/>
          <w:highlight w:val="cyan"/>
        </w:rPr>
        <w:t>.</w:t>
      </w:r>
      <w:r>
        <w:rPr>
          <w:rFonts w:ascii="Arial" w:hAnsi="Arial" w:cs="Arial"/>
          <w:i/>
          <w:iCs/>
          <w:highlight w:val="cyan"/>
        </w:rPr>
        <w:t>“</w:t>
      </w:r>
      <w:proofErr w:type="gramEnd"/>
    </w:p>
    <w:p w14:paraId="13B6256E" w14:textId="77777777" w:rsidR="005E4E00" w:rsidRPr="008C09F1" w:rsidRDefault="005E4E00" w:rsidP="005E4E00">
      <w:pPr>
        <w:jc w:val="both"/>
        <w:rPr>
          <w:rFonts w:ascii="Arial" w:hAnsi="Arial" w:cs="Arial"/>
          <w:i/>
          <w:iCs/>
          <w:highlight w:val="cyan"/>
        </w:rPr>
      </w:pPr>
    </w:p>
    <w:bookmarkEnd w:id="2"/>
    <w:p w14:paraId="4DC6ADD9" w14:textId="77777777" w:rsidR="005E4E00" w:rsidRPr="008C09F1" w:rsidRDefault="005E4E00" w:rsidP="005E4E00">
      <w:pPr>
        <w:jc w:val="both"/>
        <w:rPr>
          <w:rFonts w:ascii="Arial" w:hAnsi="Arial" w:cs="Arial"/>
          <w:i/>
          <w:iCs/>
          <w:highlight w:val="cyan"/>
        </w:rPr>
      </w:pPr>
      <w:proofErr w:type="spellStart"/>
      <w:r w:rsidRPr="008C09F1">
        <w:rPr>
          <w:rFonts w:ascii="Arial" w:hAnsi="Arial" w:cs="Arial"/>
          <w:i/>
          <w:iCs/>
          <w:highlight w:val="cyan"/>
        </w:rPr>
        <w:t>Pozměňovacím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návrhem</w:t>
      </w:r>
      <w:proofErr w:type="spellEnd"/>
      <w:r w:rsidRPr="008C09F1">
        <w:rPr>
          <w:rFonts w:ascii="Arial" w:hAnsi="Arial" w:cs="Arial"/>
          <w:i/>
          <w:iCs/>
          <w:highlight w:val="cyan"/>
        </w:rPr>
        <w:t xml:space="preserve"> k </w:t>
      </w:r>
      <w:proofErr w:type="spellStart"/>
      <w:r w:rsidRPr="008C09F1">
        <w:rPr>
          <w:rFonts w:ascii="Arial" w:hAnsi="Arial" w:cs="Arial"/>
          <w:i/>
          <w:iCs/>
          <w:highlight w:val="cyan"/>
        </w:rPr>
        <w:t>zákonu</w:t>
      </w:r>
      <w:proofErr w:type="spellEnd"/>
      <w:r w:rsidRPr="008C09F1">
        <w:rPr>
          <w:rFonts w:ascii="Arial" w:hAnsi="Arial" w:cs="Arial"/>
          <w:i/>
          <w:iCs/>
          <w:highlight w:val="cyan"/>
        </w:rPr>
        <w:t xml:space="preserve"> č. 669/2004 Sb. </w:t>
      </w:r>
      <w:proofErr w:type="spellStart"/>
      <w:r w:rsidRPr="008C09F1">
        <w:rPr>
          <w:rFonts w:ascii="Arial" w:hAnsi="Arial" w:cs="Arial"/>
          <w:i/>
          <w:iCs/>
          <w:highlight w:val="cyan"/>
        </w:rPr>
        <w:t>došlo</w:t>
      </w:r>
      <w:proofErr w:type="spellEnd"/>
      <w:r w:rsidRPr="008C09F1">
        <w:rPr>
          <w:rFonts w:ascii="Arial" w:hAnsi="Arial" w:cs="Arial"/>
          <w:i/>
          <w:iCs/>
          <w:highlight w:val="cyan"/>
        </w:rPr>
        <w:t xml:space="preserve"> s </w:t>
      </w:r>
      <w:proofErr w:type="spellStart"/>
      <w:r w:rsidRPr="008C09F1">
        <w:rPr>
          <w:rFonts w:ascii="Arial" w:hAnsi="Arial" w:cs="Arial"/>
          <w:i/>
          <w:iCs/>
          <w:highlight w:val="cyan"/>
        </w:rPr>
        <w:t>účinností</w:t>
      </w:r>
      <w:proofErr w:type="spellEnd"/>
      <w:r w:rsidRPr="008C09F1">
        <w:rPr>
          <w:rFonts w:ascii="Arial" w:hAnsi="Arial" w:cs="Arial"/>
          <w:i/>
          <w:iCs/>
          <w:highlight w:val="cyan"/>
        </w:rPr>
        <w:t xml:space="preserve"> od 1. 1. 2005 k </w:t>
      </w:r>
      <w:proofErr w:type="spellStart"/>
      <w:r w:rsidRPr="008C09F1">
        <w:rPr>
          <w:rFonts w:ascii="Arial" w:hAnsi="Arial" w:cs="Arial"/>
          <w:i/>
          <w:iCs/>
          <w:highlight w:val="cyan"/>
        </w:rPr>
        <w:t>některým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úpravám</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ustanovení</w:t>
      </w:r>
      <w:proofErr w:type="spellEnd"/>
      <w:r w:rsidRPr="008C09F1">
        <w:rPr>
          <w:rFonts w:ascii="Arial" w:hAnsi="Arial" w:cs="Arial"/>
          <w:i/>
          <w:iCs/>
          <w:highlight w:val="cyan"/>
        </w:rPr>
        <w:t xml:space="preserve"> § 5a </w:t>
      </w:r>
      <w:proofErr w:type="spellStart"/>
      <w:r w:rsidRPr="008C09F1">
        <w:rPr>
          <w:rFonts w:ascii="Arial" w:hAnsi="Arial" w:cs="Arial"/>
          <w:i/>
          <w:iCs/>
          <w:highlight w:val="cyan"/>
        </w:rPr>
        <w:t>ZoR</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kdy</w:t>
      </w:r>
      <w:proofErr w:type="spellEnd"/>
      <w:r>
        <w:rPr>
          <w:rFonts w:ascii="Arial" w:hAnsi="Arial" w:cs="Arial"/>
          <w:i/>
          <w:iCs/>
          <w:highlight w:val="cyan"/>
        </w:rPr>
        <w:t xml:space="preserve"> (</w:t>
      </w:r>
      <w:proofErr w:type="spellStart"/>
      <w:r w:rsidRPr="008C09F1">
        <w:rPr>
          <w:rFonts w:ascii="Arial" w:hAnsi="Arial" w:cs="Arial"/>
          <w:i/>
          <w:iCs/>
          <w:highlight w:val="cyan"/>
        </w:rPr>
        <w:t>mimo</w:t>
      </w:r>
      <w:proofErr w:type="spellEnd"/>
      <w:r w:rsidRPr="008C09F1">
        <w:rPr>
          <w:rFonts w:ascii="Arial" w:hAnsi="Arial" w:cs="Arial"/>
          <w:i/>
          <w:iCs/>
          <w:highlight w:val="cyan"/>
        </w:rPr>
        <w:t xml:space="preserve"> </w:t>
      </w:r>
      <w:proofErr w:type="spellStart"/>
      <w:r w:rsidRPr="008C09F1">
        <w:rPr>
          <w:rFonts w:ascii="Arial" w:hAnsi="Arial" w:cs="Arial"/>
          <w:i/>
          <w:iCs/>
          <w:highlight w:val="cyan"/>
        </w:rPr>
        <w:t>jiné</w:t>
      </w:r>
      <w:proofErr w:type="spellEnd"/>
      <w:r>
        <w:rPr>
          <w:rFonts w:ascii="Arial" w:hAnsi="Arial" w:cs="Arial"/>
          <w:i/>
          <w:iCs/>
          <w:highlight w:val="cyan"/>
        </w:rPr>
        <w:t>)</w:t>
      </w:r>
      <w:r w:rsidRPr="008C09F1">
        <w:rPr>
          <w:rFonts w:ascii="Arial" w:hAnsi="Arial" w:cs="Arial"/>
          <w:i/>
          <w:iCs/>
          <w:highlight w:val="cyan"/>
        </w:rPr>
        <w:t>:</w:t>
      </w:r>
    </w:p>
    <w:p w14:paraId="5A084335" w14:textId="77777777" w:rsidR="005E4E00" w:rsidRPr="008C09F1" w:rsidRDefault="005E4E00" w:rsidP="005E4E00">
      <w:pPr>
        <w:jc w:val="both"/>
        <w:rPr>
          <w:rFonts w:ascii="Arial" w:hAnsi="Arial" w:cs="Arial"/>
          <w:i/>
          <w:iCs/>
          <w:highlight w:val="cyan"/>
        </w:rPr>
      </w:pPr>
    </w:p>
    <w:p w14:paraId="0A073F3E" w14:textId="091197C0" w:rsidR="005E4E00" w:rsidRDefault="005E4E00" w:rsidP="005E4E00">
      <w:pPr>
        <w:jc w:val="both"/>
        <w:rPr>
          <w:rFonts w:ascii="Arial" w:hAnsi="Arial" w:cs="Arial"/>
          <w:i/>
          <w:iCs/>
          <w:highlight w:val="cyan"/>
        </w:rPr>
      </w:pPr>
      <w:r>
        <w:rPr>
          <w:rFonts w:ascii="Arial" w:hAnsi="Arial" w:cs="Arial"/>
          <w:i/>
          <w:iCs/>
          <w:highlight w:val="cyan"/>
        </w:rPr>
        <w:t xml:space="preserve">1. </w:t>
      </w:r>
      <w:r w:rsidRPr="00492FBF">
        <w:rPr>
          <w:rFonts w:ascii="Arial" w:hAnsi="Arial" w:cs="Arial"/>
          <w:i/>
          <w:iCs/>
          <w:highlight w:val="cyan"/>
          <w:u w:val="single"/>
        </w:rPr>
        <w:t>V </w:t>
      </w:r>
      <w:r>
        <w:rPr>
          <w:rFonts w:ascii="Arial" w:hAnsi="Arial" w:cs="Arial"/>
          <w:i/>
          <w:iCs/>
          <w:highlight w:val="cyan"/>
          <w:u w:val="single"/>
        </w:rPr>
        <w:t xml:space="preserve">§ </w:t>
      </w:r>
      <w:r w:rsidRPr="00492FBF">
        <w:rPr>
          <w:rFonts w:ascii="Arial" w:hAnsi="Arial" w:cs="Arial"/>
          <w:i/>
          <w:iCs/>
          <w:highlight w:val="cyan"/>
          <w:u w:val="single"/>
        </w:rPr>
        <w:t xml:space="preserve">5a </w:t>
      </w:r>
      <w:proofErr w:type="spellStart"/>
      <w:r w:rsidRPr="00492FBF">
        <w:rPr>
          <w:rFonts w:ascii="Arial" w:hAnsi="Arial" w:cs="Arial"/>
          <w:i/>
          <w:iCs/>
          <w:highlight w:val="cyan"/>
          <w:u w:val="single"/>
        </w:rPr>
        <w:t>odst</w:t>
      </w:r>
      <w:proofErr w:type="spellEnd"/>
      <w:r w:rsidRPr="00492FBF">
        <w:rPr>
          <w:rFonts w:ascii="Arial" w:hAnsi="Arial" w:cs="Arial"/>
          <w:i/>
          <w:iCs/>
          <w:highlight w:val="cyan"/>
          <w:u w:val="single"/>
        </w:rPr>
        <w:t xml:space="preserve">. 1 </w:t>
      </w:r>
      <w:proofErr w:type="spellStart"/>
      <w:r w:rsidRPr="00492FBF">
        <w:rPr>
          <w:rFonts w:ascii="Arial" w:hAnsi="Arial" w:cs="Arial"/>
          <w:i/>
          <w:iCs/>
          <w:highlight w:val="cyan"/>
          <w:u w:val="single"/>
        </w:rPr>
        <w:t>ZoR</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byla</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zavedena</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legislativní</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zkratka</w:t>
      </w:r>
      <w:proofErr w:type="spellEnd"/>
      <w:r w:rsidRPr="00492FBF">
        <w:rPr>
          <w:rFonts w:ascii="Arial" w:hAnsi="Arial" w:cs="Arial"/>
          <w:i/>
          <w:iCs/>
          <w:highlight w:val="cyan"/>
          <w:u w:val="single"/>
        </w:rPr>
        <w:t xml:space="preserve"> „</w:t>
      </w:r>
      <w:proofErr w:type="spellStart"/>
      <w:proofErr w:type="gramStart"/>
      <w:r w:rsidRPr="00492FBF">
        <w:rPr>
          <w:rFonts w:ascii="Arial" w:hAnsi="Arial" w:cs="Arial"/>
          <w:i/>
          <w:iCs/>
          <w:highlight w:val="cyan"/>
          <w:u w:val="single"/>
        </w:rPr>
        <w:t>úvěry</w:t>
      </w:r>
      <w:proofErr w:type="spellEnd"/>
      <w:r w:rsidRPr="00492FBF">
        <w:rPr>
          <w:rFonts w:ascii="Arial" w:hAnsi="Arial" w:cs="Arial"/>
          <w:i/>
          <w:iCs/>
          <w:highlight w:val="cyan"/>
          <w:u w:val="single"/>
        </w:rPr>
        <w:t>“</w:t>
      </w:r>
      <w:proofErr w:type="gramEnd"/>
      <w:r w:rsidRPr="00492FBF">
        <w:rPr>
          <w:rFonts w:ascii="Arial" w:hAnsi="Arial" w:cs="Arial"/>
          <w:i/>
          <w:iCs/>
          <w:highlight w:val="cyan"/>
        </w:rPr>
        <w:t xml:space="preserve">, </w:t>
      </w:r>
      <w:proofErr w:type="spellStart"/>
      <w:r w:rsidRPr="00492FBF">
        <w:rPr>
          <w:rFonts w:ascii="Arial" w:hAnsi="Arial" w:cs="Arial"/>
          <w:i/>
          <w:iCs/>
          <w:highlight w:val="cyan"/>
        </w:rPr>
        <w:t>která</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již</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zahrnovala</w:t>
      </w:r>
      <w:proofErr w:type="spellEnd"/>
      <w:r w:rsidRPr="00492FBF">
        <w:rPr>
          <w:rFonts w:ascii="Arial" w:hAnsi="Arial" w:cs="Arial"/>
          <w:i/>
          <w:iCs/>
          <w:highlight w:val="cyan"/>
        </w:rPr>
        <w:t xml:space="preserve"> jak </w:t>
      </w:r>
      <w:proofErr w:type="spellStart"/>
      <w:r w:rsidRPr="00492FBF">
        <w:rPr>
          <w:rFonts w:ascii="Arial" w:hAnsi="Arial" w:cs="Arial"/>
          <w:i/>
          <w:iCs/>
          <w:highlight w:val="cyan"/>
        </w:rPr>
        <w:t>úvěry</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dle</w:t>
      </w:r>
      <w:proofErr w:type="spellEnd"/>
      <w:r w:rsidRPr="00492FBF">
        <w:rPr>
          <w:rFonts w:ascii="Arial" w:hAnsi="Arial" w:cs="Arial"/>
          <w:i/>
          <w:iCs/>
          <w:highlight w:val="cyan"/>
        </w:rPr>
        <w:t xml:space="preserve"> § 497-507 </w:t>
      </w:r>
      <w:proofErr w:type="spellStart"/>
      <w:r w:rsidRPr="00492FBF">
        <w:rPr>
          <w:rFonts w:ascii="Arial" w:hAnsi="Arial" w:cs="Arial"/>
          <w:i/>
          <w:iCs/>
          <w:highlight w:val="cyan"/>
        </w:rPr>
        <w:t>obchodního</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zákoníku</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tak</w:t>
      </w:r>
      <w:proofErr w:type="spellEnd"/>
      <w:r w:rsidRPr="00492FBF">
        <w:rPr>
          <w:rFonts w:ascii="Arial" w:hAnsi="Arial" w:cs="Arial"/>
          <w:i/>
          <w:iCs/>
          <w:highlight w:val="cyan"/>
        </w:rPr>
        <w:t xml:space="preserve"> i </w:t>
      </w:r>
      <w:proofErr w:type="spellStart"/>
      <w:r w:rsidRPr="00492FBF">
        <w:rPr>
          <w:rFonts w:ascii="Arial" w:hAnsi="Arial" w:cs="Arial"/>
          <w:i/>
          <w:iCs/>
          <w:highlight w:val="cyan"/>
        </w:rPr>
        <w:t>půjčky</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dle</w:t>
      </w:r>
      <w:proofErr w:type="spellEnd"/>
      <w:r w:rsidRPr="00492FBF">
        <w:rPr>
          <w:rFonts w:ascii="Arial" w:hAnsi="Arial" w:cs="Arial"/>
          <w:i/>
          <w:iCs/>
          <w:highlight w:val="cyan"/>
        </w:rPr>
        <w:t xml:space="preserve"> §</w:t>
      </w:r>
      <w:r>
        <w:rPr>
          <w:rFonts w:ascii="Arial" w:hAnsi="Arial" w:cs="Arial"/>
          <w:i/>
          <w:iCs/>
          <w:highlight w:val="cyan"/>
        </w:rPr>
        <w:t> </w:t>
      </w:r>
      <w:r w:rsidRPr="00492FBF">
        <w:rPr>
          <w:rFonts w:ascii="Arial" w:hAnsi="Arial" w:cs="Arial"/>
          <w:i/>
          <w:iCs/>
          <w:highlight w:val="cyan"/>
        </w:rPr>
        <w:t xml:space="preserve">657-658 </w:t>
      </w:r>
      <w:proofErr w:type="spellStart"/>
      <w:r w:rsidRPr="00492FBF">
        <w:rPr>
          <w:rFonts w:ascii="Arial" w:hAnsi="Arial" w:cs="Arial"/>
          <w:i/>
          <w:iCs/>
          <w:highlight w:val="cyan"/>
        </w:rPr>
        <w:t>občanského</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zákoníku</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Legislativní</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zkratka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rozšířila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okruh</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smluvních</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ujednání</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úvěr</w:t>
      </w:r>
      <w:proofErr w:type="spellEnd"/>
      <w:r w:rsidRPr="00492FBF">
        <w:rPr>
          <w:rFonts w:ascii="Arial" w:hAnsi="Arial" w:cs="Arial"/>
          <w:i/>
          <w:iCs/>
          <w:highlight w:val="cyan"/>
        </w:rPr>
        <w:t xml:space="preserve"> a </w:t>
      </w:r>
      <w:proofErr w:type="spellStart"/>
      <w:r w:rsidRPr="00492FBF">
        <w:rPr>
          <w:rFonts w:ascii="Arial" w:hAnsi="Arial" w:cs="Arial"/>
          <w:i/>
          <w:iCs/>
          <w:highlight w:val="cyan"/>
        </w:rPr>
        <w:t>nově</w:t>
      </w:r>
      <w:proofErr w:type="spellEnd"/>
      <w:r w:rsidRPr="00492FBF">
        <w:rPr>
          <w:rFonts w:ascii="Arial" w:hAnsi="Arial" w:cs="Arial"/>
          <w:i/>
          <w:iCs/>
          <w:highlight w:val="cyan"/>
        </w:rPr>
        <w:t xml:space="preserve"> i </w:t>
      </w:r>
      <w:proofErr w:type="spellStart"/>
      <w:r w:rsidRPr="00492FBF">
        <w:rPr>
          <w:rFonts w:ascii="Arial" w:hAnsi="Arial" w:cs="Arial"/>
          <w:i/>
          <w:iCs/>
          <w:highlight w:val="cyan"/>
        </w:rPr>
        <w:t>půjčka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zakládajících</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titul</w:t>
      </w:r>
      <w:proofErr w:type="spellEnd"/>
      <w:r w:rsidRPr="00492FBF">
        <w:rPr>
          <w:rFonts w:ascii="Arial" w:hAnsi="Arial" w:cs="Arial"/>
          <w:i/>
          <w:iCs/>
          <w:highlight w:val="cyan"/>
        </w:rPr>
        <w:t xml:space="preserve"> pro </w:t>
      </w:r>
      <w:proofErr w:type="spellStart"/>
      <w:r w:rsidRPr="00492FBF">
        <w:rPr>
          <w:rFonts w:ascii="Arial" w:hAnsi="Arial" w:cs="Arial"/>
          <w:i/>
          <w:iCs/>
          <w:highlight w:val="cyan"/>
        </w:rPr>
        <w:t>vznik</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pohledávky</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ke</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které</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lze</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vytvářet</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opravné</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položky</w:t>
      </w:r>
      <w:proofErr w:type="spellEnd"/>
      <w:r w:rsidRPr="00492FBF">
        <w:rPr>
          <w:rFonts w:ascii="Arial" w:hAnsi="Arial" w:cs="Arial"/>
          <w:i/>
          <w:iCs/>
          <w:highlight w:val="cyan"/>
        </w:rPr>
        <w:t xml:space="preserve"> </w:t>
      </w:r>
      <w:r>
        <w:rPr>
          <w:rFonts w:ascii="Arial" w:hAnsi="Arial" w:cs="Arial"/>
          <w:i/>
          <w:iCs/>
          <w:highlight w:val="cyan"/>
        </w:rPr>
        <w:br/>
      </w:r>
      <w:proofErr w:type="spellStart"/>
      <w:r w:rsidRPr="00492FBF">
        <w:rPr>
          <w:rFonts w:ascii="Arial" w:hAnsi="Arial" w:cs="Arial"/>
          <w:i/>
          <w:iCs/>
          <w:highlight w:val="cyan"/>
        </w:rPr>
        <w:t>dle</w:t>
      </w:r>
      <w:proofErr w:type="spellEnd"/>
      <w:r w:rsidRPr="00492FBF">
        <w:rPr>
          <w:rFonts w:ascii="Arial" w:hAnsi="Arial" w:cs="Arial"/>
          <w:i/>
          <w:iCs/>
          <w:highlight w:val="cyan"/>
        </w:rPr>
        <w:t xml:space="preserve"> §</w:t>
      </w:r>
      <w:r>
        <w:rPr>
          <w:rFonts w:ascii="Arial" w:hAnsi="Arial" w:cs="Arial"/>
          <w:i/>
          <w:iCs/>
          <w:highlight w:val="cyan"/>
        </w:rPr>
        <w:t> </w:t>
      </w:r>
      <w:r w:rsidRPr="00492FBF">
        <w:rPr>
          <w:rFonts w:ascii="Arial" w:hAnsi="Arial" w:cs="Arial"/>
          <w:i/>
          <w:iCs/>
          <w:highlight w:val="cyan"/>
        </w:rPr>
        <w:t xml:space="preserve">5a </w:t>
      </w:r>
      <w:proofErr w:type="spellStart"/>
      <w:r w:rsidRPr="00492FBF">
        <w:rPr>
          <w:rFonts w:ascii="Arial" w:hAnsi="Arial" w:cs="Arial"/>
          <w:i/>
          <w:iCs/>
          <w:highlight w:val="cyan"/>
        </w:rPr>
        <w:t>ZoR</w:t>
      </w:r>
      <w:proofErr w:type="spellEnd"/>
      <w:r w:rsidRPr="00492FBF">
        <w:rPr>
          <w:rFonts w:ascii="Arial" w:hAnsi="Arial" w:cs="Arial"/>
          <w:i/>
          <w:iCs/>
          <w:highlight w:val="cyan"/>
        </w:rPr>
        <w:t>.</w:t>
      </w:r>
    </w:p>
    <w:p w14:paraId="5311F215" w14:textId="77777777" w:rsidR="005E4E00" w:rsidRDefault="005E4E00" w:rsidP="005E4E00">
      <w:pPr>
        <w:jc w:val="both"/>
        <w:rPr>
          <w:rFonts w:ascii="Arial" w:hAnsi="Arial" w:cs="Arial"/>
          <w:i/>
          <w:iCs/>
          <w:highlight w:val="cyan"/>
        </w:rPr>
      </w:pPr>
    </w:p>
    <w:p w14:paraId="7280F12F" w14:textId="77777777" w:rsidR="005E4E00" w:rsidRDefault="005E4E00" w:rsidP="005E4E00">
      <w:pPr>
        <w:jc w:val="both"/>
        <w:rPr>
          <w:rFonts w:ascii="Arial" w:hAnsi="Arial" w:cs="Arial"/>
          <w:i/>
          <w:iCs/>
          <w:highlight w:val="cyan"/>
        </w:rPr>
      </w:pPr>
      <w:r>
        <w:rPr>
          <w:rFonts w:ascii="Arial" w:hAnsi="Arial" w:cs="Arial"/>
          <w:i/>
          <w:iCs/>
          <w:highlight w:val="cyan"/>
        </w:rPr>
        <w:t xml:space="preserve">2. </w:t>
      </w:r>
      <w:r w:rsidRPr="00492FBF">
        <w:rPr>
          <w:rFonts w:ascii="Arial" w:hAnsi="Arial" w:cs="Arial"/>
          <w:i/>
          <w:iCs/>
          <w:highlight w:val="cyan"/>
          <w:u w:val="single"/>
        </w:rPr>
        <w:t xml:space="preserve">V § 5a </w:t>
      </w:r>
      <w:proofErr w:type="spellStart"/>
      <w:r w:rsidRPr="00492FBF">
        <w:rPr>
          <w:rFonts w:ascii="Arial" w:hAnsi="Arial" w:cs="Arial"/>
          <w:i/>
          <w:iCs/>
          <w:highlight w:val="cyan"/>
          <w:u w:val="single"/>
        </w:rPr>
        <w:t>odst</w:t>
      </w:r>
      <w:proofErr w:type="spellEnd"/>
      <w:r w:rsidRPr="00492FBF">
        <w:rPr>
          <w:rFonts w:ascii="Arial" w:hAnsi="Arial" w:cs="Arial"/>
          <w:i/>
          <w:iCs/>
          <w:highlight w:val="cyan"/>
          <w:u w:val="single"/>
        </w:rPr>
        <w:t xml:space="preserve">. 2 </w:t>
      </w:r>
      <w:proofErr w:type="spellStart"/>
      <w:r w:rsidRPr="00492FBF">
        <w:rPr>
          <w:rFonts w:ascii="Arial" w:hAnsi="Arial" w:cs="Arial"/>
          <w:i/>
          <w:iCs/>
          <w:highlight w:val="cyan"/>
          <w:u w:val="single"/>
        </w:rPr>
        <w:t>písm</w:t>
      </w:r>
      <w:proofErr w:type="spellEnd"/>
      <w:r w:rsidRPr="00492FBF">
        <w:rPr>
          <w:rFonts w:ascii="Arial" w:hAnsi="Arial" w:cs="Arial"/>
          <w:i/>
          <w:iCs/>
          <w:highlight w:val="cyan"/>
          <w:u w:val="single"/>
        </w:rPr>
        <w:t xml:space="preserve">. b) </w:t>
      </w:r>
      <w:proofErr w:type="spellStart"/>
      <w:r w:rsidRPr="00492FBF">
        <w:rPr>
          <w:rFonts w:ascii="Arial" w:hAnsi="Arial" w:cs="Arial"/>
          <w:i/>
          <w:iCs/>
          <w:highlight w:val="cyan"/>
          <w:u w:val="single"/>
        </w:rPr>
        <w:t>ZoR</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byl</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namísto</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úrokového</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výnosu</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zaveden</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širší</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pojem</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výnos</w:t>
      </w:r>
      <w:proofErr w:type="spellEnd"/>
      <w:r w:rsidRPr="00492FBF">
        <w:rPr>
          <w:rFonts w:ascii="Arial" w:hAnsi="Arial" w:cs="Arial"/>
          <w:i/>
          <w:iCs/>
          <w:highlight w:val="cyan"/>
          <w:u w:val="single"/>
        </w:rPr>
        <w:t>”</w:t>
      </w:r>
      <w:r>
        <w:rPr>
          <w:rFonts w:ascii="Arial" w:hAnsi="Arial" w:cs="Arial"/>
          <w:i/>
          <w:iCs/>
          <w:highlight w:val="cyan"/>
          <w:u w:val="single"/>
        </w:rPr>
        <w:t>.</w:t>
      </w:r>
      <w:r w:rsidRPr="00C258E4">
        <w:rPr>
          <w:rFonts w:ascii="Arial" w:hAnsi="Arial" w:cs="Arial"/>
          <w:i/>
          <w:iCs/>
          <w:highlight w:val="cyan"/>
        </w:rPr>
        <w:t xml:space="preserve"> </w:t>
      </w:r>
      <w:proofErr w:type="spellStart"/>
      <w:r>
        <w:rPr>
          <w:rFonts w:ascii="Arial" w:hAnsi="Arial" w:cs="Arial"/>
          <w:i/>
          <w:iCs/>
          <w:highlight w:val="cyan"/>
        </w:rPr>
        <w:t>P</w:t>
      </w:r>
      <w:r w:rsidRPr="00492FBF">
        <w:rPr>
          <w:rFonts w:ascii="Arial" w:hAnsi="Arial" w:cs="Arial"/>
          <w:i/>
          <w:iCs/>
          <w:highlight w:val="cyan"/>
        </w:rPr>
        <w:t>odmínk</w:t>
      </w:r>
      <w:r>
        <w:rPr>
          <w:rFonts w:ascii="Arial" w:hAnsi="Arial" w:cs="Arial"/>
          <w:i/>
          <w:iCs/>
          <w:highlight w:val="cyan"/>
        </w:rPr>
        <w:t>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byla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nově</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formulována</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tak</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že</w:t>
      </w:r>
      <w:proofErr w:type="spellEnd"/>
      <w:r>
        <w:rPr>
          <w:rFonts w:ascii="Arial" w:hAnsi="Arial" w:cs="Arial"/>
          <w:i/>
          <w:iCs/>
          <w:highlight w:val="cyan"/>
        </w:rPr>
        <w:t>:</w:t>
      </w:r>
    </w:p>
    <w:p w14:paraId="57B184F2" w14:textId="77777777" w:rsidR="005E4E00" w:rsidRDefault="005E4E00" w:rsidP="005E4E00">
      <w:pPr>
        <w:jc w:val="both"/>
        <w:rPr>
          <w:rFonts w:ascii="Arial" w:hAnsi="Arial" w:cs="Arial"/>
          <w:i/>
          <w:iCs/>
          <w:highlight w:val="cyan"/>
        </w:rPr>
      </w:pPr>
    </w:p>
    <w:p w14:paraId="50460EE8" w14:textId="77777777" w:rsidR="005E4E00" w:rsidRDefault="005E4E00" w:rsidP="005E4E00">
      <w:pPr>
        <w:ind w:left="567"/>
        <w:jc w:val="both"/>
        <w:rPr>
          <w:rFonts w:ascii="Arial" w:hAnsi="Arial" w:cs="Arial"/>
          <w:i/>
          <w:iCs/>
          <w:highlight w:val="cyan"/>
        </w:rPr>
      </w:pPr>
      <w:r>
        <w:rPr>
          <w:rFonts w:ascii="Arial" w:hAnsi="Arial" w:cs="Arial"/>
          <w:i/>
          <w:iCs/>
          <w:highlight w:val="cyan"/>
        </w:rPr>
        <w:t xml:space="preserve">„b) </w:t>
      </w:r>
      <w:proofErr w:type="spellStart"/>
      <w:r w:rsidRPr="00492FBF">
        <w:rPr>
          <w:rFonts w:ascii="Arial" w:hAnsi="Arial" w:cs="Arial"/>
          <w:i/>
          <w:iCs/>
          <w:highlight w:val="cyan"/>
          <w:u w:val="single"/>
        </w:rPr>
        <w:t>výnosy</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včetně</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úroků</w:t>
      </w:r>
      <w:proofErr w:type="spellEnd"/>
      <w:r w:rsidRPr="00492FBF">
        <w:rPr>
          <w:rFonts w:ascii="Arial" w:hAnsi="Arial" w:cs="Arial"/>
          <w:i/>
          <w:iCs/>
          <w:highlight w:val="cyan"/>
          <w:u w:val="single"/>
        </w:rPr>
        <w:t xml:space="preserve"> z </w:t>
      </w:r>
      <w:proofErr w:type="spellStart"/>
      <w:r w:rsidRPr="00492FBF">
        <w:rPr>
          <w:rFonts w:ascii="Arial" w:hAnsi="Arial" w:cs="Arial"/>
          <w:i/>
          <w:iCs/>
          <w:highlight w:val="cyan"/>
          <w:u w:val="single"/>
        </w:rPr>
        <w:t>prodlení</w:t>
      </w:r>
      <w:proofErr w:type="spellEnd"/>
      <w:r w:rsidRPr="00492FBF">
        <w:rPr>
          <w:rFonts w:ascii="Arial" w:hAnsi="Arial" w:cs="Arial"/>
          <w:i/>
          <w:iCs/>
          <w:highlight w:val="cyan"/>
          <w:u w:val="single"/>
        </w:rPr>
        <w:t>, z </w:t>
      </w:r>
      <w:proofErr w:type="spellStart"/>
      <w:r w:rsidRPr="00492FBF">
        <w:rPr>
          <w:rFonts w:ascii="Arial" w:hAnsi="Arial" w:cs="Arial"/>
          <w:i/>
          <w:iCs/>
          <w:highlight w:val="cyan"/>
          <w:u w:val="single"/>
        </w:rPr>
        <w:t>poskytnutých</w:t>
      </w:r>
      <w:proofErr w:type="spellEnd"/>
      <w:r w:rsidRPr="00492FBF">
        <w:rPr>
          <w:rFonts w:ascii="Arial" w:hAnsi="Arial" w:cs="Arial"/>
          <w:i/>
          <w:iCs/>
          <w:highlight w:val="cyan"/>
          <w:u w:val="single"/>
        </w:rPr>
        <w:t xml:space="preserve"> </w:t>
      </w:r>
      <w:proofErr w:type="spellStart"/>
      <w:r w:rsidRPr="00492FBF">
        <w:rPr>
          <w:rFonts w:ascii="Arial" w:hAnsi="Arial" w:cs="Arial"/>
          <w:i/>
          <w:iCs/>
          <w:highlight w:val="cyan"/>
          <w:u w:val="single"/>
        </w:rPr>
        <w:t>úvěrů</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podle</w:t>
      </w:r>
      <w:proofErr w:type="spellEnd"/>
      <w:r w:rsidRPr="00492FBF">
        <w:rPr>
          <w:rFonts w:ascii="Arial" w:hAnsi="Arial" w:cs="Arial"/>
          <w:i/>
          <w:iCs/>
          <w:highlight w:val="cyan"/>
        </w:rPr>
        <w:t xml:space="preserve"> </w:t>
      </w:r>
      <w:proofErr w:type="spellStart"/>
      <w:r>
        <w:rPr>
          <w:rFonts w:ascii="Arial" w:hAnsi="Arial" w:cs="Arial"/>
          <w:i/>
          <w:iCs/>
          <w:highlight w:val="cyan"/>
        </w:rPr>
        <w:t>odstavce</w:t>
      </w:r>
      <w:proofErr w:type="spellEnd"/>
      <w:r>
        <w:rPr>
          <w:rFonts w:ascii="Arial" w:hAnsi="Arial" w:cs="Arial"/>
          <w:i/>
          <w:iCs/>
          <w:highlight w:val="cyan"/>
        </w:rPr>
        <w:t xml:space="preserve"> </w:t>
      </w:r>
      <w:r w:rsidRPr="00492FBF">
        <w:rPr>
          <w:rFonts w:ascii="Arial" w:hAnsi="Arial" w:cs="Arial"/>
          <w:i/>
          <w:iCs/>
          <w:highlight w:val="cyan"/>
        </w:rPr>
        <w:t>1 u</w:t>
      </w:r>
      <w:r>
        <w:rPr>
          <w:rFonts w:ascii="Arial" w:hAnsi="Arial" w:cs="Arial"/>
          <w:i/>
          <w:iCs/>
          <w:highlight w:val="cyan"/>
        </w:rPr>
        <w:t> </w:t>
      </w:r>
      <w:proofErr w:type="spellStart"/>
      <w:r w:rsidRPr="00492FBF">
        <w:rPr>
          <w:rFonts w:ascii="Arial" w:hAnsi="Arial" w:cs="Arial"/>
          <w:i/>
          <w:iCs/>
          <w:highlight w:val="cyan"/>
        </w:rPr>
        <w:t>nich</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dosáhnou</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alespoň</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jedné</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poloviny</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celkových</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výnosů</w:t>
      </w:r>
      <w:proofErr w:type="spellEnd"/>
      <w:r w:rsidRPr="00492FBF">
        <w:rPr>
          <w:rFonts w:ascii="Arial" w:hAnsi="Arial" w:cs="Arial"/>
          <w:i/>
          <w:iCs/>
          <w:highlight w:val="cyan"/>
        </w:rPr>
        <w:t xml:space="preserve"> v </w:t>
      </w:r>
      <w:proofErr w:type="spellStart"/>
      <w:r w:rsidRPr="00492FBF">
        <w:rPr>
          <w:rFonts w:ascii="Arial" w:hAnsi="Arial" w:cs="Arial"/>
          <w:i/>
          <w:iCs/>
          <w:highlight w:val="cyan"/>
        </w:rPr>
        <w:t>příslušném</w:t>
      </w:r>
      <w:proofErr w:type="spellEnd"/>
      <w:r w:rsidRPr="00492FBF">
        <w:rPr>
          <w:rFonts w:ascii="Arial" w:hAnsi="Arial" w:cs="Arial"/>
          <w:i/>
          <w:iCs/>
          <w:highlight w:val="cyan"/>
        </w:rPr>
        <w:t xml:space="preserve"> </w:t>
      </w:r>
      <w:proofErr w:type="spellStart"/>
      <w:r w:rsidRPr="00492FBF">
        <w:rPr>
          <w:rFonts w:ascii="Arial" w:hAnsi="Arial" w:cs="Arial"/>
          <w:i/>
          <w:iCs/>
          <w:highlight w:val="cyan"/>
        </w:rPr>
        <w:t>zdaňovacím</w:t>
      </w:r>
      <w:proofErr w:type="spellEnd"/>
      <w:r w:rsidRPr="00492FBF">
        <w:rPr>
          <w:rFonts w:ascii="Arial" w:hAnsi="Arial" w:cs="Arial"/>
          <w:i/>
          <w:iCs/>
          <w:highlight w:val="cyan"/>
        </w:rPr>
        <w:t xml:space="preserve"> </w:t>
      </w:r>
      <w:proofErr w:type="spellStart"/>
      <w:proofErr w:type="gramStart"/>
      <w:r w:rsidRPr="00492FBF">
        <w:rPr>
          <w:rFonts w:ascii="Arial" w:hAnsi="Arial" w:cs="Arial"/>
          <w:i/>
          <w:iCs/>
          <w:highlight w:val="cyan"/>
        </w:rPr>
        <w:t>období</w:t>
      </w:r>
      <w:proofErr w:type="spellEnd"/>
      <w:r w:rsidRPr="00492FBF">
        <w:rPr>
          <w:rFonts w:ascii="Arial" w:hAnsi="Arial" w:cs="Arial"/>
          <w:i/>
          <w:iCs/>
          <w:highlight w:val="cyan"/>
        </w:rPr>
        <w:t>.</w:t>
      </w:r>
      <w:r>
        <w:rPr>
          <w:rFonts w:ascii="Arial" w:hAnsi="Arial" w:cs="Arial"/>
          <w:i/>
          <w:iCs/>
          <w:highlight w:val="cyan"/>
        </w:rPr>
        <w:t>“</w:t>
      </w:r>
      <w:proofErr w:type="gramEnd"/>
    </w:p>
    <w:p w14:paraId="2AB6AFB3" w14:textId="77777777" w:rsidR="005E4E00" w:rsidRDefault="005E4E00" w:rsidP="005E4E00">
      <w:pPr>
        <w:jc w:val="both"/>
        <w:rPr>
          <w:rFonts w:ascii="Arial" w:hAnsi="Arial" w:cs="Arial"/>
          <w:i/>
          <w:iCs/>
          <w:highlight w:val="cyan"/>
        </w:rPr>
      </w:pPr>
    </w:p>
    <w:p w14:paraId="3D7F4290" w14:textId="77777777" w:rsidR="005E4E00" w:rsidRDefault="005E4E00" w:rsidP="005E4E00">
      <w:pPr>
        <w:jc w:val="both"/>
        <w:rPr>
          <w:rFonts w:ascii="Arial" w:hAnsi="Arial" w:cs="Arial"/>
          <w:i/>
          <w:iCs/>
          <w:highlight w:val="cyan"/>
        </w:rPr>
      </w:pPr>
      <w:proofErr w:type="spellStart"/>
      <w:r>
        <w:rPr>
          <w:rFonts w:ascii="Arial" w:hAnsi="Arial" w:cs="Arial"/>
          <w:i/>
          <w:iCs/>
          <w:highlight w:val="cyan"/>
        </w:rPr>
        <w:t>V</w:t>
      </w:r>
      <w:r w:rsidRPr="009A2DD5">
        <w:rPr>
          <w:rFonts w:ascii="Arial" w:hAnsi="Arial" w:cs="Arial"/>
          <w:i/>
          <w:iCs/>
          <w:highlight w:val="cyan"/>
        </w:rPr>
        <w:t>ýnos</w:t>
      </w:r>
      <w:r>
        <w:rPr>
          <w:rFonts w:ascii="Arial" w:hAnsi="Arial" w:cs="Arial"/>
          <w:i/>
          <w:iCs/>
          <w:highlight w:val="cyan"/>
        </w:rPr>
        <w:t>y</w:t>
      </w:r>
      <w:proofErr w:type="spellEnd"/>
      <w:r w:rsidRPr="009A2DD5">
        <w:rPr>
          <w:rFonts w:ascii="Arial" w:hAnsi="Arial" w:cs="Arial"/>
          <w:i/>
          <w:iCs/>
          <w:highlight w:val="cyan"/>
        </w:rPr>
        <w:t xml:space="preserve"> </w:t>
      </w:r>
      <w:proofErr w:type="spellStart"/>
      <w:r>
        <w:rPr>
          <w:rFonts w:ascii="Arial" w:hAnsi="Arial" w:cs="Arial"/>
          <w:i/>
          <w:iCs/>
          <w:highlight w:val="cyan"/>
        </w:rPr>
        <w:t>dle</w:t>
      </w:r>
      <w:proofErr w:type="spellEnd"/>
      <w:r>
        <w:rPr>
          <w:rFonts w:ascii="Arial" w:hAnsi="Arial" w:cs="Arial"/>
          <w:i/>
          <w:iCs/>
          <w:highlight w:val="cyan"/>
        </w:rPr>
        <w:t xml:space="preserve"> § 5a </w:t>
      </w:r>
      <w:proofErr w:type="spellStart"/>
      <w:r>
        <w:rPr>
          <w:rFonts w:ascii="Arial" w:hAnsi="Arial" w:cs="Arial"/>
          <w:i/>
          <w:iCs/>
          <w:highlight w:val="cyan"/>
        </w:rPr>
        <w:t>odst</w:t>
      </w:r>
      <w:proofErr w:type="spellEnd"/>
      <w:r>
        <w:rPr>
          <w:rFonts w:ascii="Arial" w:hAnsi="Arial" w:cs="Arial"/>
          <w:i/>
          <w:iCs/>
          <w:highlight w:val="cyan"/>
        </w:rPr>
        <w:t xml:space="preserve">. 2 </w:t>
      </w:r>
      <w:proofErr w:type="spellStart"/>
      <w:r>
        <w:rPr>
          <w:rFonts w:ascii="Arial" w:hAnsi="Arial" w:cs="Arial"/>
          <w:i/>
          <w:iCs/>
          <w:highlight w:val="cyan"/>
        </w:rPr>
        <w:t>písm</w:t>
      </w:r>
      <w:proofErr w:type="spellEnd"/>
      <w:r>
        <w:rPr>
          <w:rFonts w:ascii="Arial" w:hAnsi="Arial" w:cs="Arial"/>
          <w:i/>
          <w:iCs/>
          <w:highlight w:val="cyan"/>
        </w:rPr>
        <w:t xml:space="preserve">. b) </w:t>
      </w:r>
      <w:proofErr w:type="spellStart"/>
      <w:r>
        <w:rPr>
          <w:rFonts w:ascii="Arial" w:hAnsi="Arial" w:cs="Arial"/>
          <w:i/>
          <w:iCs/>
          <w:highlight w:val="cyan"/>
        </w:rPr>
        <w:t>ZoR</w:t>
      </w:r>
      <w:proofErr w:type="spellEnd"/>
      <w:r>
        <w:rPr>
          <w:rFonts w:ascii="Arial" w:hAnsi="Arial" w:cs="Arial"/>
          <w:i/>
          <w:iCs/>
          <w:highlight w:val="cyan"/>
        </w:rPr>
        <w:t xml:space="preserve"> </w:t>
      </w:r>
      <w:r w:rsidRPr="009A2DD5">
        <w:rPr>
          <w:rFonts w:ascii="Arial" w:hAnsi="Arial" w:cs="Arial"/>
          <w:i/>
          <w:iCs/>
          <w:highlight w:val="cyan"/>
        </w:rPr>
        <w:t xml:space="preserve">pro </w:t>
      </w:r>
      <w:proofErr w:type="spellStart"/>
      <w:r w:rsidRPr="009A2DD5">
        <w:rPr>
          <w:rFonts w:ascii="Arial" w:hAnsi="Arial" w:cs="Arial"/>
          <w:i/>
          <w:iCs/>
          <w:highlight w:val="cyan"/>
        </w:rPr>
        <w:t>účely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vymezení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množiny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ostatních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finančních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institucí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představ</w:t>
      </w:r>
      <w:r>
        <w:rPr>
          <w:rFonts w:ascii="Arial" w:hAnsi="Arial" w:cs="Arial"/>
          <w:i/>
          <w:iCs/>
          <w:highlight w:val="cyan"/>
        </w:rPr>
        <w:t>ovaly</w:t>
      </w:r>
      <w:proofErr w:type="spellEnd"/>
      <w:r w:rsidRPr="009A2DD5">
        <w:rPr>
          <w:rFonts w:ascii="Arial" w:hAnsi="Arial" w:cs="Arial"/>
          <w:i/>
          <w:iCs/>
          <w:highlight w:val="cyan"/>
        </w:rPr>
        <w:t xml:space="preserve"> </w:t>
      </w:r>
      <w:proofErr w:type="spellStart"/>
      <w:r>
        <w:rPr>
          <w:rFonts w:ascii="Arial" w:hAnsi="Arial" w:cs="Arial"/>
          <w:i/>
          <w:iCs/>
          <w:highlight w:val="cyan"/>
        </w:rPr>
        <w:t>výnosy</w:t>
      </w:r>
      <w:proofErr w:type="spellEnd"/>
      <w:r>
        <w:rPr>
          <w:rFonts w:ascii="Arial" w:hAnsi="Arial" w:cs="Arial"/>
          <w:i/>
          <w:iCs/>
          <w:highlight w:val="cyan"/>
        </w:rPr>
        <w:t xml:space="preserve"> </w:t>
      </w:r>
      <w:r w:rsidRPr="009A2DD5">
        <w:rPr>
          <w:rFonts w:ascii="Arial" w:hAnsi="Arial" w:cs="Arial"/>
          <w:i/>
          <w:iCs/>
          <w:highlight w:val="cyan"/>
        </w:rPr>
        <w:t>z </w:t>
      </w:r>
      <w:proofErr w:type="spellStart"/>
      <w:r w:rsidRPr="009A2DD5">
        <w:rPr>
          <w:rFonts w:ascii="Arial" w:hAnsi="Arial" w:cs="Arial"/>
          <w:i/>
          <w:iCs/>
          <w:highlight w:val="cyan"/>
        </w:rPr>
        <w:t>úvěrů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poskytovaných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dle</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smlouvy</w:t>
      </w:r>
      <w:proofErr w:type="spellEnd"/>
      <w:r w:rsidRPr="009A2DD5">
        <w:rPr>
          <w:rFonts w:ascii="Arial" w:hAnsi="Arial" w:cs="Arial"/>
          <w:i/>
          <w:iCs/>
          <w:highlight w:val="cyan"/>
        </w:rPr>
        <w:t xml:space="preserve"> o </w:t>
      </w:r>
      <w:proofErr w:type="spellStart"/>
      <w:r w:rsidRPr="009A2DD5">
        <w:rPr>
          <w:rFonts w:ascii="Arial" w:hAnsi="Arial" w:cs="Arial"/>
          <w:i/>
          <w:iCs/>
          <w:highlight w:val="cyan"/>
        </w:rPr>
        <w:t>úvěru</w:t>
      </w:r>
      <w:proofErr w:type="spellEnd"/>
      <w:r w:rsidRPr="009A2DD5">
        <w:rPr>
          <w:rFonts w:ascii="Arial" w:hAnsi="Arial" w:cs="Arial"/>
          <w:i/>
          <w:iCs/>
          <w:highlight w:val="cyan"/>
        </w:rPr>
        <w:t xml:space="preserve"> a z </w:t>
      </w:r>
      <w:proofErr w:type="spellStart"/>
      <w:r w:rsidRPr="009A2DD5">
        <w:rPr>
          <w:rFonts w:ascii="Arial" w:hAnsi="Arial" w:cs="Arial"/>
          <w:i/>
          <w:iCs/>
          <w:highlight w:val="cyan"/>
        </w:rPr>
        <w:t>půjček</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poskytovaných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základě</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smlouvy</w:t>
      </w:r>
      <w:proofErr w:type="spellEnd"/>
      <w:r w:rsidRPr="009A2DD5">
        <w:rPr>
          <w:rFonts w:ascii="Arial" w:hAnsi="Arial" w:cs="Arial"/>
          <w:i/>
          <w:iCs/>
          <w:highlight w:val="cyan"/>
        </w:rPr>
        <w:t xml:space="preserve"> o </w:t>
      </w:r>
      <w:proofErr w:type="spellStart"/>
      <w:r w:rsidRPr="009A2DD5">
        <w:rPr>
          <w:rFonts w:ascii="Arial" w:hAnsi="Arial" w:cs="Arial"/>
          <w:i/>
          <w:iCs/>
          <w:highlight w:val="cyan"/>
        </w:rPr>
        <w:t>půjčce</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Přitom</w:t>
      </w:r>
      <w:proofErr w:type="spellEnd"/>
      <w:r w:rsidRPr="009A2DD5">
        <w:rPr>
          <w:rFonts w:ascii="Arial" w:hAnsi="Arial" w:cs="Arial"/>
          <w:i/>
          <w:iCs/>
          <w:highlight w:val="cyan"/>
        </w:rPr>
        <w:t xml:space="preserve"> u </w:t>
      </w:r>
      <w:proofErr w:type="spellStart"/>
      <w:r w:rsidRPr="009A2DD5">
        <w:rPr>
          <w:rFonts w:ascii="Arial" w:hAnsi="Arial" w:cs="Arial"/>
          <w:i/>
          <w:iCs/>
          <w:highlight w:val="cyan"/>
        </w:rPr>
        <w:t>obou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smluvních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ujednání</w:t>
      </w:r>
      <w:proofErr w:type="spellEnd"/>
      <w:r>
        <w:rPr>
          <w:rFonts w:ascii="Arial" w:hAnsi="Arial" w:cs="Arial"/>
          <w:i/>
          <w:iCs/>
          <w:highlight w:val="cyan"/>
        </w:rPr>
        <w:br/>
      </w:r>
      <w:r w:rsidRPr="009A2DD5">
        <w:rPr>
          <w:rFonts w:ascii="Arial" w:hAnsi="Arial" w:cs="Arial"/>
          <w:i/>
          <w:iCs/>
          <w:highlight w:val="cyan"/>
        </w:rPr>
        <w:t xml:space="preserve">je pro </w:t>
      </w:r>
      <w:proofErr w:type="spellStart"/>
      <w:r w:rsidRPr="009A2DD5">
        <w:rPr>
          <w:rFonts w:ascii="Arial" w:hAnsi="Arial" w:cs="Arial"/>
          <w:i/>
          <w:iCs/>
          <w:highlight w:val="cyan"/>
        </w:rPr>
        <w:t>účely</w:t>
      </w:r>
      <w:proofErr w:type="spellEnd"/>
      <w:r w:rsidRPr="009A2DD5">
        <w:rPr>
          <w:rFonts w:ascii="Arial" w:hAnsi="Arial" w:cs="Arial"/>
          <w:i/>
          <w:iCs/>
          <w:highlight w:val="cyan"/>
        </w:rPr>
        <w:t xml:space="preserve"> § 5a </w:t>
      </w:r>
      <w:proofErr w:type="spellStart"/>
      <w:r w:rsidRPr="009A2DD5">
        <w:rPr>
          <w:rFonts w:ascii="Arial" w:hAnsi="Arial" w:cs="Arial"/>
          <w:i/>
          <w:iCs/>
          <w:highlight w:val="cyan"/>
        </w:rPr>
        <w:t>odst</w:t>
      </w:r>
      <w:proofErr w:type="spellEnd"/>
      <w:r w:rsidRPr="009A2DD5">
        <w:rPr>
          <w:rFonts w:ascii="Arial" w:hAnsi="Arial" w:cs="Arial"/>
          <w:i/>
          <w:iCs/>
          <w:highlight w:val="cyan"/>
        </w:rPr>
        <w:t xml:space="preserve">. 2 </w:t>
      </w:r>
      <w:proofErr w:type="spellStart"/>
      <w:r w:rsidRPr="009A2DD5">
        <w:rPr>
          <w:rFonts w:ascii="Arial" w:hAnsi="Arial" w:cs="Arial"/>
          <w:i/>
          <w:iCs/>
          <w:highlight w:val="cyan"/>
        </w:rPr>
        <w:t>písm</w:t>
      </w:r>
      <w:proofErr w:type="spellEnd"/>
      <w:r w:rsidRPr="009A2DD5">
        <w:rPr>
          <w:rFonts w:ascii="Arial" w:hAnsi="Arial" w:cs="Arial"/>
          <w:i/>
          <w:iCs/>
          <w:highlight w:val="cyan"/>
        </w:rPr>
        <w:t xml:space="preserve">. b) </w:t>
      </w:r>
      <w:proofErr w:type="spellStart"/>
      <w:r w:rsidRPr="009A2DD5">
        <w:rPr>
          <w:rFonts w:ascii="Arial" w:hAnsi="Arial" w:cs="Arial"/>
          <w:i/>
          <w:iCs/>
          <w:highlight w:val="cyan"/>
        </w:rPr>
        <w:t>ZoR</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výnosem</w:t>
      </w:r>
      <w:proofErr w:type="spellEnd"/>
      <w:r w:rsidRPr="009A2DD5">
        <w:rPr>
          <w:rFonts w:ascii="Arial" w:hAnsi="Arial" w:cs="Arial"/>
          <w:i/>
          <w:iCs/>
          <w:highlight w:val="cyan"/>
        </w:rPr>
        <w:t xml:space="preserve"> i </w:t>
      </w:r>
      <w:proofErr w:type="spellStart"/>
      <w:r w:rsidRPr="009A2DD5">
        <w:rPr>
          <w:rFonts w:ascii="Arial" w:hAnsi="Arial" w:cs="Arial"/>
          <w:i/>
          <w:iCs/>
          <w:highlight w:val="cyan"/>
        </w:rPr>
        <w:t>úrok</w:t>
      </w:r>
      <w:proofErr w:type="spellEnd"/>
      <w:r w:rsidRPr="009A2DD5">
        <w:rPr>
          <w:rFonts w:ascii="Arial" w:hAnsi="Arial" w:cs="Arial"/>
          <w:i/>
          <w:iCs/>
          <w:highlight w:val="cyan"/>
        </w:rPr>
        <w:t xml:space="preserve"> z </w:t>
      </w:r>
      <w:proofErr w:type="spellStart"/>
      <w:r w:rsidRPr="009A2DD5">
        <w:rPr>
          <w:rFonts w:ascii="Arial" w:hAnsi="Arial" w:cs="Arial"/>
          <w:i/>
          <w:iCs/>
          <w:highlight w:val="cyan"/>
        </w:rPr>
        <w:t>prodlení</w:t>
      </w:r>
      <w:proofErr w:type="spellEnd"/>
      <w:r w:rsidRPr="009A2DD5">
        <w:rPr>
          <w:rFonts w:ascii="Arial" w:hAnsi="Arial" w:cs="Arial"/>
          <w:i/>
          <w:iCs/>
          <w:highlight w:val="cyan"/>
        </w:rPr>
        <w:t>.</w:t>
      </w:r>
    </w:p>
    <w:p w14:paraId="562974AA" w14:textId="77777777" w:rsidR="005E4E00" w:rsidRPr="00492FBF" w:rsidRDefault="005E4E00" w:rsidP="005E4E00">
      <w:pPr>
        <w:jc w:val="both"/>
        <w:rPr>
          <w:rFonts w:ascii="Arial" w:hAnsi="Arial" w:cs="Arial"/>
          <w:i/>
          <w:iCs/>
          <w:highlight w:val="cyan"/>
        </w:rPr>
      </w:pPr>
    </w:p>
    <w:p w14:paraId="0F6D7C3F" w14:textId="77777777" w:rsidR="005E4E00" w:rsidRDefault="005E4E00" w:rsidP="005E4E00">
      <w:pPr>
        <w:jc w:val="both"/>
        <w:rPr>
          <w:rFonts w:ascii="Arial" w:hAnsi="Arial" w:cs="Arial"/>
          <w:b/>
          <w:bCs/>
          <w:i/>
          <w:iCs/>
          <w:highlight w:val="cyan"/>
        </w:rPr>
      </w:pPr>
      <w:r>
        <w:rPr>
          <w:rFonts w:ascii="Arial" w:hAnsi="Arial" w:cs="Arial"/>
          <w:b/>
          <w:bCs/>
          <w:i/>
          <w:iCs/>
          <w:highlight w:val="cyan"/>
        </w:rPr>
        <w:t xml:space="preserve">4. </w:t>
      </w:r>
      <w:proofErr w:type="spellStart"/>
      <w:r>
        <w:rPr>
          <w:rFonts w:ascii="Arial" w:hAnsi="Arial" w:cs="Arial"/>
          <w:b/>
          <w:bCs/>
          <w:i/>
          <w:iCs/>
          <w:highlight w:val="cyan"/>
        </w:rPr>
        <w:t>systematický</w:t>
      </w:r>
      <w:proofErr w:type="spellEnd"/>
      <w:r>
        <w:rPr>
          <w:rFonts w:ascii="Arial" w:hAnsi="Arial" w:cs="Arial"/>
          <w:b/>
          <w:bCs/>
          <w:i/>
          <w:iCs/>
          <w:highlight w:val="cyan"/>
        </w:rPr>
        <w:t xml:space="preserve"> </w:t>
      </w:r>
      <w:proofErr w:type="spellStart"/>
      <w:r>
        <w:rPr>
          <w:rFonts w:ascii="Arial" w:hAnsi="Arial" w:cs="Arial"/>
          <w:b/>
          <w:bCs/>
          <w:i/>
          <w:iCs/>
          <w:highlight w:val="cyan"/>
        </w:rPr>
        <w:t>výklad</w:t>
      </w:r>
      <w:proofErr w:type="spellEnd"/>
    </w:p>
    <w:p w14:paraId="7644323C" w14:textId="77777777" w:rsidR="005E4E00" w:rsidRDefault="005E4E00" w:rsidP="005E4E00">
      <w:pPr>
        <w:jc w:val="both"/>
        <w:rPr>
          <w:rFonts w:ascii="Arial" w:hAnsi="Arial" w:cs="Arial"/>
          <w:b/>
          <w:bCs/>
          <w:i/>
          <w:iCs/>
          <w:highlight w:val="cyan"/>
        </w:rPr>
      </w:pPr>
    </w:p>
    <w:p w14:paraId="31480E3A" w14:textId="77777777" w:rsidR="005E4E00" w:rsidRDefault="005E4E00" w:rsidP="005E4E00">
      <w:pPr>
        <w:jc w:val="both"/>
        <w:rPr>
          <w:rFonts w:ascii="Arial" w:hAnsi="Arial" w:cs="Arial"/>
          <w:i/>
          <w:iCs/>
          <w:highlight w:val="cyan"/>
        </w:rPr>
      </w:pPr>
      <w:proofErr w:type="spellStart"/>
      <w:r>
        <w:rPr>
          <w:rFonts w:ascii="Arial" w:hAnsi="Arial" w:cs="Arial"/>
          <w:i/>
          <w:iCs/>
          <w:highlight w:val="cyan"/>
        </w:rPr>
        <w:t>Zákon</w:t>
      </w:r>
      <w:proofErr w:type="spellEnd"/>
      <w:r>
        <w:rPr>
          <w:rFonts w:ascii="Arial" w:hAnsi="Arial" w:cs="Arial"/>
          <w:i/>
          <w:iCs/>
          <w:highlight w:val="cyan"/>
        </w:rPr>
        <w:t xml:space="preserve"> o </w:t>
      </w:r>
      <w:proofErr w:type="spellStart"/>
      <w:r>
        <w:rPr>
          <w:rFonts w:ascii="Arial" w:hAnsi="Arial" w:cs="Arial"/>
          <w:i/>
          <w:iCs/>
          <w:highlight w:val="cyan"/>
        </w:rPr>
        <w:t>rezervách</w:t>
      </w:r>
      <w:proofErr w:type="spellEnd"/>
      <w:r>
        <w:rPr>
          <w:rFonts w:ascii="Arial" w:hAnsi="Arial" w:cs="Arial"/>
          <w:i/>
          <w:iCs/>
          <w:highlight w:val="cyan"/>
        </w:rPr>
        <w:t xml:space="preserve"> pro </w:t>
      </w:r>
      <w:proofErr w:type="spellStart"/>
      <w:r>
        <w:rPr>
          <w:rFonts w:ascii="Arial" w:hAnsi="Arial" w:cs="Arial"/>
          <w:i/>
          <w:iCs/>
          <w:highlight w:val="cyan"/>
        </w:rPr>
        <w:t>zjištění</w:t>
      </w:r>
      <w:proofErr w:type="spellEnd"/>
      <w:r>
        <w:rPr>
          <w:rFonts w:ascii="Arial" w:hAnsi="Arial" w:cs="Arial"/>
          <w:i/>
          <w:iCs/>
          <w:highlight w:val="cyan"/>
        </w:rPr>
        <w:t xml:space="preserve"> </w:t>
      </w:r>
      <w:proofErr w:type="spellStart"/>
      <w:r>
        <w:rPr>
          <w:rFonts w:ascii="Arial" w:hAnsi="Arial" w:cs="Arial"/>
          <w:i/>
          <w:iCs/>
          <w:highlight w:val="cyan"/>
        </w:rPr>
        <w:t>základu</w:t>
      </w:r>
      <w:proofErr w:type="spellEnd"/>
      <w:r>
        <w:rPr>
          <w:rFonts w:ascii="Arial" w:hAnsi="Arial" w:cs="Arial"/>
          <w:i/>
          <w:iCs/>
          <w:highlight w:val="cyan"/>
        </w:rPr>
        <w:t xml:space="preserve"> </w:t>
      </w:r>
      <w:proofErr w:type="spellStart"/>
      <w:r>
        <w:rPr>
          <w:rFonts w:ascii="Arial" w:hAnsi="Arial" w:cs="Arial"/>
          <w:i/>
          <w:iCs/>
          <w:highlight w:val="cyan"/>
        </w:rPr>
        <w:t>daně</w:t>
      </w:r>
      <w:proofErr w:type="spellEnd"/>
      <w:r>
        <w:rPr>
          <w:rFonts w:ascii="Arial" w:hAnsi="Arial" w:cs="Arial"/>
          <w:i/>
          <w:iCs/>
          <w:highlight w:val="cyan"/>
        </w:rPr>
        <w:t xml:space="preserve"> z </w:t>
      </w:r>
      <w:proofErr w:type="spellStart"/>
      <w:r>
        <w:rPr>
          <w:rFonts w:ascii="Arial" w:hAnsi="Arial" w:cs="Arial"/>
          <w:i/>
          <w:iCs/>
          <w:highlight w:val="cyan"/>
        </w:rPr>
        <w:t>příjmů</w:t>
      </w:r>
      <w:proofErr w:type="spellEnd"/>
      <w:r>
        <w:rPr>
          <w:rFonts w:ascii="Arial" w:hAnsi="Arial" w:cs="Arial"/>
          <w:i/>
          <w:iCs/>
          <w:highlight w:val="cyan"/>
        </w:rPr>
        <w:t xml:space="preserve">, jak </w:t>
      </w:r>
      <w:proofErr w:type="spellStart"/>
      <w:r>
        <w:rPr>
          <w:rFonts w:ascii="Arial" w:hAnsi="Arial" w:cs="Arial"/>
          <w:i/>
          <w:iCs/>
          <w:highlight w:val="cyan"/>
        </w:rPr>
        <w:t>už</w:t>
      </w:r>
      <w:proofErr w:type="spellEnd"/>
      <w:r>
        <w:rPr>
          <w:rFonts w:ascii="Arial" w:hAnsi="Arial" w:cs="Arial"/>
          <w:i/>
          <w:iCs/>
          <w:highlight w:val="cyan"/>
        </w:rPr>
        <w:t xml:space="preserve"> z </w:t>
      </w:r>
      <w:proofErr w:type="spellStart"/>
      <w:r>
        <w:rPr>
          <w:rFonts w:ascii="Arial" w:hAnsi="Arial" w:cs="Arial"/>
          <w:i/>
          <w:iCs/>
          <w:highlight w:val="cyan"/>
        </w:rPr>
        <w:t>jeho</w:t>
      </w:r>
      <w:proofErr w:type="spellEnd"/>
      <w:r>
        <w:rPr>
          <w:rFonts w:ascii="Arial" w:hAnsi="Arial" w:cs="Arial"/>
          <w:i/>
          <w:iCs/>
          <w:highlight w:val="cyan"/>
        </w:rPr>
        <w:t xml:space="preserve"> </w:t>
      </w:r>
      <w:proofErr w:type="spellStart"/>
      <w:r>
        <w:rPr>
          <w:rFonts w:ascii="Arial" w:hAnsi="Arial" w:cs="Arial"/>
          <w:i/>
          <w:iCs/>
          <w:highlight w:val="cyan"/>
        </w:rPr>
        <w:t>názvu</w:t>
      </w:r>
      <w:proofErr w:type="spellEnd"/>
      <w:r>
        <w:rPr>
          <w:rFonts w:ascii="Arial" w:hAnsi="Arial" w:cs="Arial"/>
          <w:i/>
          <w:iCs/>
          <w:highlight w:val="cyan"/>
        </w:rPr>
        <w:t xml:space="preserve"> </w:t>
      </w:r>
      <w:proofErr w:type="spellStart"/>
      <w:r>
        <w:rPr>
          <w:rFonts w:ascii="Arial" w:hAnsi="Arial" w:cs="Arial"/>
          <w:i/>
          <w:iCs/>
          <w:highlight w:val="cyan"/>
        </w:rPr>
        <w:t>vyplývá</w:t>
      </w:r>
      <w:proofErr w:type="spellEnd"/>
      <w:r>
        <w:rPr>
          <w:rFonts w:ascii="Arial" w:hAnsi="Arial" w:cs="Arial"/>
          <w:i/>
          <w:iCs/>
          <w:highlight w:val="cyan"/>
        </w:rPr>
        <w:t xml:space="preserve">, </w:t>
      </w:r>
      <w:proofErr w:type="spellStart"/>
      <w:r>
        <w:rPr>
          <w:rFonts w:ascii="Arial" w:hAnsi="Arial" w:cs="Arial"/>
          <w:i/>
          <w:iCs/>
          <w:highlight w:val="cyan"/>
        </w:rPr>
        <w:t>upravuje</w:t>
      </w:r>
      <w:proofErr w:type="spellEnd"/>
      <w:r>
        <w:rPr>
          <w:rFonts w:ascii="Arial" w:hAnsi="Arial" w:cs="Arial"/>
          <w:i/>
          <w:iCs/>
          <w:highlight w:val="cyan"/>
        </w:rPr>
        <w:t xml:space="preserve"> </w:t>
      </w:r>
      <w:proofErr w:type="spellStart"/>
      <w:r>
        <w:rPr>
          <w:rFonts w:ascii="Arial" w:hAnsi="Arial" w:cs="Arial"/>
          <w:i/>
          <w:iCs/>
          <w:highlight w:val="cyan"/>
        </w:rPr>
        <w:t>podmínky</w:t>
      </w:r>
      <w:proofErr w:type="spellEnd"/>
      <w:r>
        <w:rPr>
          <w:rFonts w:ascii="Arial" w:hAnsi="Arial" w:cs="Arial"/>
          <w:i/>
          <w:iCs/>
          <w:highlight w:val="cyan"/>
        </w:rPr>
        <w:t xml:space="preserve"> </w:t>
      </w:r>
      <w:proofErr w:type="spellStart"/>
      <w:r>
        <w:rPr>
          <w:rFonts w:ascii="Arial" w:hAnsi="Arial" w:cs="Arial"/>
          <w:i/>
          <w:iCs/>
          <w:highlight w:val="cyan"/>
        </w:rPr>
        <w:t>tvorby</w:t>
      </w:r>
      <w:proofErr w:type="spellEnd"/>
      <w:r>
        <w:rPr>
          <w:rFonts w:ascii="Arial" w:hAnsi="Arial" w:cs="Arial"/>
          <w:i/>
          <w:iCs/>
          <w:highlight w:val="cyan"/>
        </w:rPr>
        <w:t xml:space="preserve"> </w:t>
      </w:r>
      <w:proofErr w:type="spellStart"/>
      <w:r>
        <w:rPr>
          <w:rFonts w:ascii="Arial" w:hAnsi="Arial" w:cs="Arial"/>
          <w:i/>
          <w:iCs/>
          <w:highlight w:val="cyan"/>
        </w:rPr>
        <w:t>rezerv</w:t>
      </w:r>
      <w:proofErr w:type="spellEnd"/>
      <w:r>
        <w:rPr>
          <w:rFonts w:ascii="Arial" w:hAnsi="Arial" w:cs="Arial"/>
          <w:i/>
          <w:iCs/>
          <w:highlight w:val="cyan"/>
        </w:rPr>
        <w:t xml:space="preserve"> </w:t>
      </w:r>
      <w:proofErr w:type="gramStart"/>
      <w:r>
        <w:rPr>
          <w:rFonts w:ascii="Arial" w:hAnsi="Arial" w:cs="Arial"/>
          <w:i/>
          <w:iCs/>
          <w:highlight w:val="cyan"/>
        </w:rPr>
        <w:t>a</w:t>
      </w:r>
      <w:proofErr w:type="gramEnd"/>
      <w:r>
        <w:rPr>
          <w:rFonts w:ascii="Arial" w:hAnsi="Arial" w:cs="Arial"/>
          <w:i/>
          <w:iCs/>
          <w:highlight w:val="cyan"/>
        </w:rPr>
        <w:t xml:space="preserve"> </w:t>
      </w:r>
      <w:proofErr w:type="spellStart"/>
      <w:r>
        <w:rPr>
          <w:rFonts w:ascii="Arial" w:hAnsi="Arial" w:cs="Arial"/>
          <w:i/>
          <w:iCs/>
          <w:highlight w:val="cyan"/>
        </w:rPr>
        <w:t>opravných</w:t>
      </w:r>
      <w:proofErr w:type="spellEnd"/>
      <w:r>
        <w:rPr>
          <w:rFonts w:ascii="Arial" w:hAnsi="Arial" w:cs="Arial"/>
          <w:i/>
          <w:iCs/>
          <w:highlight w:val="cyan"/>
        </w:rPr>
        <w:t xml:space="preserve"> </w:t>
      </w:r>
      <w:proofErr w:type="spellStart"/>
      <w:r>
        <w:rPr>
          <w:rFonts w:ascii="Arial" w:hAnsi="Arial" w:cs="Arial"/>
          <w:i/>
          <w:iCs/>
          <w:highlight w:val="cyan"/>
        </w:rPr>
        <w:t>položek</w:t>
      </w:r>
      <w:proofErr w:type="spellEnd"/>
      <w:r>
        <w:rPr>
          <w:rFonts w:ascii="Arial" w:hAnsi="Arial" w:cs="Arial"/>
          <w:i/>
          <w:iCs/>
          <w:highlight w:val="cyan"/>
        </w:rPr>
        <w:t xml:space="preserve"> pro </w:t>
      </w:r>
      <w:proofErr w:type="spellStart"/>
      <w:r>
        <w:rPr>
          <w:rFonts w:ascii="Arial" w:hAnsi="Arial" w:cs="Arial"/>
          <w:i/>
          <w:iCs/>
          <w:highlight w:val="cyan"/>
        </w:rPr>
        <w:t>účely</w:t>
      </w:r>
      <w:proofErr w:type="spellEnd"/>
      <w:r>
        <w:rPr>
          <w:rFonts w:ascii="Arial" w:hAnsi="Arial" w:cs="Arial"/>
          <w:i/>
          <w:iCs/>
          <w:highlight w:val="cyan"/>
        </w:rPr>
        <w:t xml:space="preserve"> </w:t>
      </w:r>
      <w:proofErr w:type="spellStart"/>
      <w:r>
        <w:rPr>
          <w:rFonts w:ascii="Arial" w:hAnsi="Arial" w:cs="Arial"/>
          <w:i/>
          <w:iCs/>
          <w:highlight w:val="cyan"/>
        </w:rPr>
        <w:t>stanovení</w:t>
      </w:r>
      <w:proofErr w:type="spellEnd"/>
      <w:r>
        <w:rPr>
          <w:rFonts w:ascii="Arial" w:hAnsi="Arial" w:cs="Arial"/>
          <w:i/>
          <w:iCs/>
          <w:highlight w:val="cyan"/>
        </w:rPr>
        <w:t xml:space="preserve"> </w:t>
      </w:r>
      <w:proofErr w:type="spellStart"/>
      <w:r>
        <w:rPr>
          <w:rFonts w:ascii="Arial" w:hAnsi="Arial" w:cs="Arial"/>
          <w:i/>
          <w:iCs/>
          <w:highlight w:val="cyan"/>
        </w:rPr>
        <w:t>základu</w:t>
      </w:r>
      <w:proofErr w:type="spellEnd"/>
      <w:r>
        <w:rPr>
          <w:rFonts w:ascii="Arial" w:hAnsi="Arial" w:cs="Arial"/>
          <w:i/>
          <w:iCs/>
          <w:highlight w:val="cyan"/>
        </w:rPr>
        <w:t xml:space="preserve"> </w:t>
      </w:r>
      <w:proofErr w:type="spellStart"/>
      <w:r>
        <w:rPr>
          <w:rFonts w:ascii="Arial" w:hAnsi="Arial" w:cs="Arial"/>
          <w:i/>
          <w:iCs/>
          <w:highlight w:val="cyan"/>
        </w:rPr>
        <w:t>daně</w:t>
      </w:r>
      <w:proofErr w:type="spellEnd"/>
      <w:r>
        <w:rPr>
          <w:rFonts w:ascii="Arial" w:hAnsi="Arial" w:cs="Arial"/>
          <w:i/>
          <w:iCs/>
          <w:highlight w:val="cyan"/>
        </w:rPr>
        <w:t xml:space="preserve"> z </w:t>
      </w:r>
      <w:proofErr w:type="spellStart"/>
      <w:r>
        <w:rPr>
          <w:rFonts w:ascii="Arial" w:hAnsi="Arial" w:cs="Arial"/>
          <w:i/>
          <w:iCs/>
          <w:highlight w:val="cyan"/>
        </w:rPr>
        <w:t>příjmů</w:t>
      </w:r>
      <w:proofErr w:type="spellEnd"/>
      <w:r>
        <w:rPr>
          <w:rFonts w:ascii="Arial" w:hAnsi="Arial" w:cs="Arial"/>
          <w:i/>
          <w:iCs/>
          <w:highlight w:val="cyan"/>
        </w:rPr>
        <w:t xml:space="preserve">. </w:t>
      </w:r>
      <w:r w:rsidRPr="00CC3A6E">
        <w:rPr>
          <w:rFonts w:ascii="Arial" w:hAnsi="Arial" w:cs="Arial"/>
          <w:i/>
          <w:iCs/>
          <w:highlight w:val="cyan"/>
        </w:rPr>
        <w:t xml:space="preserve">V </w:t>
      </w:r>
      <w:proofErr w:type="spellStart"/>
      <w:r w:rsidRPr="00CC3A6E">
        <w:rPr>
          <w:rFonts w:ascii="Arial" w:hAnsi="Arial" w:cs="Arial"/>
          <w:i/>
          <w:iCs/>
          <w:highlight w:val="cyan"/>
        </w:rPr>
        <w:t>souladu</w:t>
      </w:r>
      <w:proofErr w:type="spellEnd"/>
      <w:r w:rsidRPr="00CC3A6E">
        <w:rPr>
          <w:rFonts w:ascii="Arial" w:hAnsi="Arial" w:cs="Arial"/>
          <w:i/>
          <w:iCs/>
          <w:highlight w:val="cyan"/>
        </w:rPr>
        <w:t xml:space="preserve"> s </w:t>
      </w:r>
      <w:proofErr w:type="spellStart"/>
      <w:r w:rsidRPr="00CC3A6E">
        <w:rPr>
          <w:rFonts w:ascii="Arial" w:hAnsi="Arial" w:cs="Arial"/>
          <w:i/>
          <w:iCs/>
          <w:highlight w:val="cyan"/>
        </w:rPr>
        <w:t>principem</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jednoty</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právního</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řádu</w:t>
      </w:r>
      <w:proofErr w:type="spellEnd"/>
      <w:r w:rsidRPr="00CC3A6E">
        <w:rPr>
          <w:rFonts w:ascii="Arial" w:hAnsi="Arial" w:cs="Arial"/>
          <w:i/>
          <w:iCs/>
          <w:highlight w:val="cyan"/>
        </w:rPr>
        <w:t xml:space="preserve"> je </w:t>
      </w:r>
      <w:proofErr w:type="spellStart"/>
      <w:r w:rsidRPr="00CC3A6E">
        <w:rPr>
          <w:rFonts w:ascii="Arial" w:hAnsi="Arial" w:cs="Arial"/>
          <w:i/>
          <w:iCs/>
          <w:highlight w:val="cyan"/>
        </w:rPr>
        <w:t>třeba</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na</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pojem</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výnos</w:t>
      </w:r>
      <w:proofErr w:type="spellEnd"/>
      <w:r w:rsidRPr="00CC3A6E">
        <w:rPr>
          <w:rFonts w:ascii="Arial" w:hAnsi="Arial" w:cs="Arial"/>
          <w:i/>
          <w:iCs/>
          <w:highlight w:val="cyan"/>
        </w:rPr>
        <w:t xml:space="preserve"> z </w:t>
      </w:r>
      <w:proofErr w:type="spellStart"/>
      <w:r w:rsidRPr="00CC3A6E">
        <w:rPr>
          <w:rFonts w:ascii="Arial" w:hAnsi="Arial" w:cs="Arial"/>
          <w:i/>
          <w:iCs/>
          <w:highlight w:val="cyan"/>
        </w:rPr>
        <w:t>poskytnutých</w:t>
      </w:r>
      <w:proofErr w:type="spellEnd"/>
      <w:r w:rsidRPr="00CC3A6E">
        <w:rPr>
          <w:rFonts w:ascii="Arial" w:hAnsi="Arial" w:cs="Arial"/>
          <w:i/>
          <w:iCs/>
          <w:highlight w:val="cyan"/>
        </w:rPr>
        <w:t xml:space="preserve"> </w:t>
      </w:r>
      <w:proofErr w:type="spellStart"/>
      <w:proofErr w:type="gramStart"/>
      <w:r w:rsidRPr="00CC3A6E">
        <w:rPr>
          <w:rFonts w:ascii="Arial" w:hAnsi="Arial" w:cs="Arial"/>
          <w:i/>
          <w:iCs/>
          <w:highlight w:val="cyan"/>
        </w:rPr>
        <w:t>úvěrů</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nahlížet</w:t>
      </w:r>
      <w:proofErr w:type="spellEnd"/>
      <w:proofErr w:type="gramEnd"/>
      <w:r w:rsidRPr="00CC3A6E">
        <w:rPr>
          <w:rFonts w:ascii="Arial" w:hAnsi="Arial" w:cs="Arial"/>
          <w:i/>
          <w:iCs/>
          <w:highlight w:val="cyan"/>
        </w:rPr>
        <w:t xml:space="preserve"> i </w:t>
      </w:r>
      <w:proofErr w:type="spellStart"/>
      <w:r w:rsidRPr="00CC3A6E">
        <w:rPr>
          <w:rFonts w:ascii="Arial" w:hAnsi="Arial" w:cs="Arial"/>
          <w:i/>
          <w:iCs/>
          <w:highlight w:val="cyan"/>
        </w:rPr>
        <w:t>optikou</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zákona</w:t>
      </w:r>
      <w:proofErr w:type="spellEnd"/>
      <w:r w:rsidRPr="00CC3A6E">
        <w:rPr>
          <w:rFonts w:ascii="Arial" w:hAnsi="Arial" w:cs="Arial"/>
          <w:i/>
          <w:iCs/>
          <w:highlight w:val="cyan"/>
        </w:rPr>
        <w:t xml:space="preserve"> o </w:t>
      </w:r>
      <w:proofErr w:type="spellStart"/>
      <w:r w:rsidRPr="00CC3A6E">
        <w:rPr>
          <w:rFonts w:ascii="Arial" w:hAnsi="Arial" w:cs="Arial"/>
          <w:i/>
          <w:iCs/>
          <w:highlight w:val="cyan"/>
        </w:rPr>
        <w:t>daních</w:t>
      </w:r>
      <w:proofErr w:type="spellEnd"/>
      <w:r w:rsidRPr="00CC3A6E">
        <w:rPr>
          <w:rFonts w:ascii="Arial" w:hAnsi="Arial" w:cs="Arial"/>
          <w:i/>
          <w:iCs/>
          <w:highlight w:val="cyan"/>
        </w:rPr>
        <w:t xml:space="preserve"> z </w:t>
      </w:r>
      <w:proofErr w:type="spellStart"/>
      <w:r w:rsidRPr="00CC3A6E">
        <w:rPr>
          <w:rFonts w:ascii="Arial" w:hAnsi="Arial" w:cs="Arial"/>
          <w:i/>
          <w:iCs/>
          <w:highlight w:val="cyan"/>
        </w:rPr>
        <w:t>příjmů</w:t>
      </w:r>
      <w:proofErr w:type="spellEnd"/>
      <w:r w:rsidRPr="00CC3A6E">
        <w:rPr>
          <w:rFonts w:ascii="Arial" w:hAnsi="Arial" w:cs="Arial"/>
          <w:i/>
          <w:iCs/>
          <w:highlight w:val="cyan"/>
        </w:rPr>
        <w:t>.</w:t>
      </w:r>
      <w:r>
        <w:rPr>
          <w:rFonts w:ascii="Arial" w:hAnsi="Arial" w:cs="Arial"/>
          <w:i/>
          <w:iCs/>
          <w:highlight w:val="cyan"/>
        </w:rPr>
        <w:t xml:space="preserve"> </w:t>
      </w:r>
      <w:proofErr w:type="spellStart"/>
      <w:r>
        <w:rPr>
          <w:rFonts w:ascii="Arial" w:hAnsi="Arial" w:cs="Arial"/>
          <w:i/>
          <w:iCs/>
          <w:highlight w:val="cyan"/>
        </w:rPr>
        <w:t>Zákon</w:t>
      </w:r>
      <w:proofErr w:type="spellEnd"/>
      <w:r>
        <w:rPr>
          <w:rFonts w:ascii="Arial" w:hAnsi="Arial" w:cs="Arial"/>
          <w:i/>
          <w:iCs/>
          <w:highlight w:val="cyan"/>
        </w:rPr>
        <w:t xml:space="preserve"> o </w:t>
      </w:r>
      <w:proofErr w:type="spellStart"/>
      <w:r>
        <w:rPr>
          <w:rFonts w:ascii="Arial" w:hAnsi="Arial" w:cs="Arial"/>
          <w:i/>
          <w:iCs/>
          <w:highlight w:val="cyan"/>
        </w:rPr>
        <w:t>daních</w:t>
      </w:r>
      <w:proofErr w:type="spellEnd"/>
      <w:r>
        <w:rPr>
          <w:rFonts w:ascii="Arial" w:hAnsi="Arial" w:cs="Arial"/>
          <w:i/>
          <w:iCs/>
          <w:highlight w:val="cyan"/>
        </w:rPr>
        <w:t xml:space="preserve"> z </w:t>
      </w:r>
      <w:proofErr w:type="spellStart"/>
      <w:r>
        <w:rPr>
          <w:rFonts w:ascii="Arial" w:hAnsi="Arial" w:cs="Arial"/>
          <w:i/>
          <w:iCs/>
          <w:highlight w:val="cyan"/>
        </w:rPr>
        <w:t>příjmů</w:t>
      </w:r>
      <w:proofErr w:type="spellEnd"/>
      <w:r>
        <w:rPr>
          <w:rFonts w:ascii="Arial" w:hAnsi="Arial" w:cs="Arial"/>
          <w:i/>
          <w:iCs/>
          <w:highlight w:val="cyan"/>
        </w:rPr>
        <w:t xml:space="preserve"> </w:t>
      </w:r>
      <w:proofErr w:type="spellStart"/>
      <w:r>
        <w:rPr>
          <w:rFonts w:ascii="Arial" w:hAnsi="Arial" w:cs="Arial"/>
          <w:i/>
          <w:iCs/>
          <w:highlight w:val="cyan"/>
        </w:rPr>
        <w:t>používal</w:t>
      </w:r>
      <w:proofErr w:type="spellEnd"/>
      <w:r>
        <w:rPr>
          <w:rFonts w:ascii="Arial" w:hAnsi="Arial" w:cs="Arial"/>
          <w:i/>
          <w:iCs/>
          <w:highlight w:val="cyan"/>
        </w:rPr>
        <w:t xml:space="preserve"> a </w:t>
      </w:r>
      <w:proofErr w:type="spellStart"/>
      <w:r>
        <w:rPr>
          <w:rFonts w:ascii="Arial" w:hAnsi="Arial" w:cs="Arial"/>
          <w:i/>
          <w:iCs/>
          <w:highlight w:val="cyan"/>
        </w:rPr>
        <w:t>nadále</w:t>
      </w:r>
      <w:proofErr w:type="spellEnd"/>
      <w:r>
        <w:rPr>
          <w:rFonts w:ascii="Arial" w:hAnsi="Arial" w:cs="Arial"/>
          <w:i/>
          <w:iCs/>
          <w:highlight w:val="cyan"/>
        </w:rPr>
        <w:t xml:space="preserve"> </w:t>
      </w:r>
      <w:proofErr w:type="spellStart"/>
      <w:r>
        <w:rPr>
          <w:rFonts w:ascii="Arial" w:hAnsi="Arial" w:cs="Arial"/>
          <w:i/>
          <w:iCs/>
          <w:highlight w:val="cyan"/>
        </w:rPr>
        <w:t>používá</w:t>
      </w:r>
      <w:proofErr w:type="spellEnd"/>
      <w:r>
        <w:rPr>
          <w:rFonts w:ascii="Arial" w:hAnsi="Arial" w:cs="Arial"/>
          <w:i/>
          <w:iCs/>
          <w:highlight w:val="cyan"/>
        </w:rPr>
        <w:t xml:space="preserve"> </w:t>
      </w:r>
      <w:proofErr w:type="spellStart"/>
      <w:r>
        <w:rPr>
          <w:rFonts w:ascii="Arial" w:hAnsi="Arial" w:cs="Arial"/>
          <w:i/>
          <w:iCs/>
          <w:highlight w:val="cyan"/>
        </w:rPr>
        <w:t>pojem</w:t>
      </w:r>
      <w:proofErr w:type="spellEnd"/>
      <w:r>
        <w:rPr>
          <w:rFonts w:ascii="Arial" w:hAnsi="Arial" w:cs="Arial"/>
          <w:i/>
          <w:iCs/>
          <w:highlight w:val="cyan"/>
        </w:rPr>
        <w:t xml:space="preserve"> „</w:t>
      </w:r>
      <w:proofErr w:type="spellStart"/>
      <w:r>
        <w:rPr>
          <w:rFonts w:ascii="Arial" w:hAnsi="Arial" w:cs="Arial"/>
          <w:i/>
          <w:iCs/>
          <w:highlight w:val="cyan"/>
        </w:rPr>
        <w:t>výnos</w:t>
      </w:r>
      <w:proofErr w:type="spellEnd"/>
      <w:r>
        <w:rPr>
          <w:rFonts w:ascii="Arial" w:hAnsi="Arial" w:cs="Arial"/>
          <w:i/>
          <w:iCs/>
          <w:highlight w:val="cyan"/>
        </w:rPr>
        <w:t xml:space="preserve"> z </w:t>
      </w:r>
      <w:proofErr w:type="gramStart"/>
      <w:r>
        <w:rPr>
          <w:rFonts w:ascii="Arial" w:hAnsi="Arial" w:cs="Arial"/>
          <w:i/>
          <w:iCs/>
          <w:highlight w:val="cyan"/>
        </w:rPr>
        <w:t>…“ v</w:t>
      </w:r>
      <w:proofErr w:type="gramEnd"/>
      <w:r>
        <w:rPr>
          <w:rFonts w:ascii="Arial" w:hAnsi="Arial" w:cs="Arial"/>
          <w:i/>
          <w:iCs/>
          <w:highlight w:val="cyan"/>
        </w:rPr>
        <w:t> </w:t>
      </w:r>
      <w:proofErr w:type="spellStart"/>
      <w:r>
        <w:rPr>
          <w:rFonts w:ascii="Arial" w:hAnsi="Arial" w:cs="Arial"/>
          <w:i/>
          <w:iCs/>
          <w:highlight w:val="cyan"/>
        </w:rPr>
        <w:t>celé</w:t>
      </w:r>
      <w:proofErr w:type="spellEnd"/>
      <w:r>
        <w:rPr>
          <w:rFonts w:ascii="Arial" w:hAnsi="Arial" w:cs="Arial"/>
          <w:i/>
          <w:iCs/>
          <w:highlight w:val="cyan"/>
        </w:rPr>
        <w:t xml:space="preserve"> </w:t>
      </w:r>
      <w:proofErr w:type="spellStart"/>
      <w:r>
        <w:rPr>
          <w:rFonts w:ascii="Arial" w:hAnsi="Arial" w:cs="Arial"/>
          <w:i/>
          <w:iCs/>
          <w:highlight w:val="cyan"/>
        </w:rPr>
        <w:t>řadě</w:t>
      </w:r>
      <w:proofErr w:type="spellEnd"/>
      <w:r>
        <w:rPr>
          <w:rFonts w:ascii="Arial" w:hAnsi="Arial" w:cs="Arial"/>
          <w:i/>
          <w:iCs/>
          <w:highlight w:val="cyan"/>
        </w:rPr>
        <w:t xml:space="preserve"> </w:t>
      </w:r>
      <w:proofErr w:type="spellStart"/>
      <w:r>
        <w:rPr>
          <w:rFonts w:ascii="Arial" w:hAnsi="Arial" w:cs="Arial"/>
          <w:i/>
          <w:iCs/>
          <w:highlight w:val="cyan"/>
        </w:rPr>
        <w:t>ustanovení</w:t>
      </w:r>
      <w:proofErr w:type="spellEnd"/>
      <w:r>
        <w:rPr>
          <w:rFonts w:ascii="Arial" w:hAnsi="Arial" w:cs="Arial"/>
          <w:i/>
          <w:iCs/>
          <w:highlight w:val="cyan"/>
        </w:rPr>
        <w:t xml:space="preserve">. </w:t>
      </w:r>
      <w:proofErr w:type="spellStart"/>
      <w:r>
        <w:rPr>
          <w:rFonts w:ascii="Arial" w:hAnsi="Arial" w:cs="Arial"/>
          <w:i/>
          <w:iCs/>
          <w:highlight w:val="cyan"/>
        </w:rPr>
        <w:t>Namátkou</w:t>
      </w:r>
      <w:proofErr w:type="spellEnd"/>
      <w:r>
        <w:rPr>
          <w:rFonts w:ascii="Arial" w:hAnsi="Arial" w:cs="Arial"/>
          <w:i/>
          <w:iCs/>
          <w:highlight w:val="cyan"/>
        </w:rPr>
        <w:t xml:space="preserve"> </w:t>
      </w:r>
      <w:proofErr w:type="spellStart"/>
      <w:r>
        <w:rPr>
          <w:rFonts w:ascii="Arial" w:hAnsi="Arial" w:cs="Arial"/>
          <w:i/>
          <w:iCs/>
          <w:highlight w:val="cyan"/>
        </w:rPr>
        <w:t>vybíráme</w:t>
      </w:r>
      <w:proofErr w:type="spellEnd"/>
      <w:r>
        <w:rPr>
          <w:rFonts w:ascii="Arial" w:hAnsi="Arial" w:cs="Arial"/>
          <w:i/>
          <w:iCs/>
          <w:highlight w:val="cyan"/>
        </w:rPr>
        <w:t xml:space="preserve"> </w:t>
      </w:r>
      <w:proofErr w:type="spellStart"/>
      <w:r>
        <w:rPr>
          <w:rFonts w:ascii="Arial" w:hAnsi="Arial" w:cs="Arial"/>
          <w:i/>
          <w:iCs/>
          <w:highlight w:val="cyan"/>
        </w:rPr>
        <w:t>tato</w:t>
      </w:r>
      <w:proofErr w:type="spellEnd"/>
      <w:r>
        <w:rPr>
          <w:rFonts w:ascii="Arial" w:hAnsi="Arial" w:cs="Arial"/>
          <w:i/>
          <w:iCs/>
          <w:highlight w:val="cyan"/>
        </w:rPr>
        <w:t>:</w:t>
      </w:r>
    </w:p>
    <w:p w14:paraId="3456863C" w14:textId="77777777" w:rsidR="005E4E00" w:rsidRDefault="005E4E00" w:rsidP="005E4E00">
      <w:pPr>
        <w:jc w:val="both"/>
        <w:rPr>
          <w:rFonts w:ascii="Arial" w:hAnsi="Arial" w:cs="Arial"/>
          <w:i/>
          <w:iCs/>
          <w:highlight w:val="cyan"/>
        </w:rPr>
      </w:pPr>
    </w:p>
    <w:p w14:paraId="76688A5A" w14:textId="77777777" w:rsidR="005E4E00" w:rsidRDefault="005E4E00" w:rsidP="005E4E00">
      <w:pPr>
        <w:pStyle w:val="Odstavecseseznamem"/>
        <w:numPr>
          <w:ilvl w:val="0"/>
          <w:numId w:val="57"/>
        </w:numPr>
        <w:spacing w:after="0" w:line="240" w:lineRule="auto"/>
        <w:contextualSpacing/>
        <w:jc w:val="both"/>
        <w:rPr>
          <w:rFonts w:ascii="Arial" w:hAnsi="Arial" w:cs="Arial"/>
          <w:i/>
          <w:iCs/>
          <w:highlight w:val="cyan"/>
        </w:rPr>
      </w:pPr>
      <w:r w:rsidRPr="00CC3A6E">
        <w:rPr>
          <w:rFonts w:ascii="Arial" w:hAnsi="Arial" w:cs="Arial"/>
          <w:i/>
          <w:iCs/>
          <w:highlight w:val="cyan"/>
        </w:rPr>
        <w:t>“</w:t>
      </w:r>
      <w:proofErr w:type="spellStart"/>
      <w:r w:rsidRPr="00CC3A6E">
        <w:rPr>
          <w:rFonts w:ascii="Arial" w:hAnsi="Arial" w:cs="Arial"/>
          <w:i/>
          <w:iCs/>
          <w:highlight w:val="cyan"/>
        </w:rPr>
        <w:t>výnosy</w:t>
      </w:r>
      <w:proofErr w:type="spellEnd"/>
      <w:r w:rsidRPr="00CC3A6E">
        <w:rPr>
          <w:rFonts w:ascii="Arial" w:hAnsi="Arial" w:cs="Arial"/>
          <w:i/>
          <w:iCs/>
          <w:highlight w:val="cyan"/>
        </w:rPr>
        <w:t xml:space="preserve"> z </w:t>
      </w:r>
      <w:proofErr w:type="spellStart"/>
      <w:r w:rsidRPr="00CC3A6E">
        <w:rPr>
          <w:rFonts w:ascii="Arial" w:hAnsi="Arial" w:cs="Arial"/>
          <w:i/>
          <w:iCs/>
          <w:highlight w:val="cyan"/>
        </w:rPr>
        <w:t>vkladů</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na</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vkladních</w:t>
      </w:r>
      <w:proofErr w:type="spellEnd"/>
      <w:r w:rsidRPr="00CC3A6E">
        <w:rPr>
          <w:rFonts w:ascii="Arial" w:hAnsi="Arial" w:cs="Arial"/>
          <w:i/>
          <w:iCs/>
          <w:highlight w:val="cyan"/>
        </w:rPr>
        <w:t xml:space="preserve"> </w:t>
      </w:r>
      <w:proofErr w:type="spellStart"/>
      <w:proofErr w:type="gramStart"/>
      <w:r w:rsidRPr="00CC3A6E">
        <w:rPr>
          <w:rFonts w:ascii="Arial" w:hAnsi="Arial" w:cs="Arial"/>
          <w:i/>
          <w:iCs/>
          <w:highlight w:val="cyan"/>
        </w:rPr>
        <w:t>knížkách</w:t>
      </w:r>
      <w:proofErr w:type="spellEnd"/>
      <w:r w:rsidRPr="00CC3A6E">
        <w:rPr>
          <w:rFonts w:ascii="Arial" w:hAnsi="Arial" w:cs="Arial"/>
          <w:i/>
          <w:iCs/>
          <w:highlight w:val="cyan"/>
        </w:rPr>
        <w:t>“ v</w:t>
      </w:r>
      <w:proofErr w:type="gramEnd"/>
      <w:r w:rsidRPr="00CC3A6E">
        <w:rPr>
          <w:rFonts w:ascii="Arial" w:hAnsi="Arial" w:cs="Arial"/>
          <w:i/>
          <w:iCs/>
          <w:highlight w:val="cyan"/>
        </w:rPr>
        <w:t xml:space="preserve"> § 8 </w:t>
      </w:r>
      <w:proofErr w:type="spellStart"/>
      <w:r w:rsidRPr="00CC3A6E">
        <w:rPr>
          <w:rFonts w:ascii="Arial" w:hAnsi="Arial" w:cs="Arial"/>
          <w:i/>
          <w:iCs/>
          <w:highlight w:val="cyan"/>
        </w:rPr>
        <w:t>odst</w:t>
      </w:r>
      <w:proofErr w:type="spellEnd"/>
      <w:r w:rsidRPr="00CC3A6E">
        <w:rPr>
          <w:rFonts w:ascii="Arial" w:hAnsi="Arial" w:cs="Arial"/>
          <w:i/>
          <w:iCs/>
          <w:highlight w:val="cyan"/>
        </w:rPr>
        <w:t xml:space="preserve">. 1 </w:t>
      </w:r>
      <w:proofErr w:type="spellStart"/>
      <w:r w:rsidRPr="00CC3A6E">
        <w:rPr>
          <w:rFonts w:ascii="Arial" w:hAnsi="Arial" w:cs="Arial"/>
          <w:i/>
          <w:iCs/>
          <w:highlight w:val="cyan"/>
        </w:rPr>
        <w:t>písm</w:t>
      </w:r>
      <w:proofErr w:type="spellEnd"/>
      <w:r w:rsidRPr="00CC3A6E">
        <w:rPr>
          <w:rFonts w:ascii="Arial" w:hAnsi="Arial" w:cs="Arial"/>
          <w:i/>
          <w:iCs/>
          <w:highlight w:val="cyan"/>
        </w:rPr>
        <w:t>. c) ZDP,</w:t>
      </w:r>
    </w:p>
    <w:p w14:paraId="2390A7BE" w14:textId="77777777" w:rsidR="005E4E00" w:rsidRDefault="005E4E00" w:rsidP="005E4E00">
      <w:pPr>
        <w:pStyle w:val="Odstavecseseznamem"/>
        <w:numPr>
          <w:ilvl w:val="0"/>
          <w:numId w:val="57"/>
        </w:numPr>
        <w:spacing w:after="0" w:line="240" w:lineRule="auto"/>
        <w:contextualSpacing/>
        <w:jc w:val="both"/>
        <w:rPr>
          <w:rFonts w:ascii="Arial" w:hAnsi="Arial" w:cs="Arial"/>
          <w:i/>
          <w:iCs/>
          <w:highlight w:val="cyan"/>
        </w:rPr>
      </w:pPr>
      <w:r>
        <w:rPr>
          <w:rFonts w:ascii="Arial" w:hAnsi="Arial" w:cs="Arial"/>
          <w:i/>
          <w:iCs/>
          <w:highlight w:val="cyan"/>
        </w:rPr>
        <w:t>„</w:t>
      </w:r>
      <w:proofErr w:type="spellStart"/>
      <w:r w:rsidRPr="00CC3A6E">
        <w:rPr>
          <w:rFonts w:ascii="Arial" w:hAnsi="Arial" w:cs="Arial"/>
          <w:i/>
          <w:iCs/>
          <w:highlight w:val="cyan"/>
        </w:rPr>
        <w:t>úrokové</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výnosy</w:t>
      </w:r>
      <w:proofErr w:type="spellEnd"/>
      <w:r w:rsidRPr="00CC3A6E">
        <w:rPr>
          <w:rFonts w:ascii="Arial" w:hAnsi="Arial" w:cs="Arial"/>
          <w:i/>
          <w:iCs/>
          <w:highlight w:val="cyan"/>
        </w:rPr>
        <w:t xml:space="preserve"> z </w:t>
      </w:r>
      <w:proofErr w:type="spellStart"/>
      <w:r w:rsidRPr="00CC3A6E">
        <w:rPr>
          <w:rFonts w:ascii="Arial" w:hAnsi="Arial" w:cs="Arial"/>
          <w:i/>
          <w:iCs/>
          <w:highlight w:val="cyan"/>
        </w:rPr>
        <w:t>hypotečních</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zástavních</w:t>
      </w:r>
      <w:proofErr w:type="spellEnd"/>
      <w:r w:rsidRPr="00CC3A6E">
        <w:rPr>
          <w:rFonts w:ascii="Arial" w:hAnsi="Arial" w:cs="Arial"/>
          <w:i/>
          <w:iCs/>
          <w:highlight w:val="cyan"/>
        </w:rPr>
        <w:t xml:space="preserve"> </w:t>
      </w:r>
      <w:proofErr w:type="spellStart"/>
      <w:proofErr w:type="gramStart"/>
      <w:r w:rsidRPr="00CC3A6E">
        <w:rPr>
          <w:rFonts w:ascii="Arial" w:hAnsi="Arial" w:cs="Arial"/>
          <w:i/>
          <w:iCs/>
          <w:highlight w:val="cyan"/>
        </w:rPr>
        <w:t>listů</w:t>
      </w:r>
      <w:proofErr w:type="spellEnd"/>
      <w:r w:rsidRPr="00CC3A6E">
        <w:rPr>
          <w:rFonts w:ascii="Arial" w:hAnsi="Arial" w:cs="Arial"/>
          <w:i/>
          <w:iCs/>
          <w:highlight w:val="cyan"/>
        </w:rPr>
        <w:t>,</w:t>
      </w:r>
      <w:r>
        <w:rPr>
          <w:rFonts w:ascii="Arial" w:hAnsi="Arial" w:cs="Arial"/>
          <w:i/>
          <w:iCs/>
          <w:highlight w:val="cyan"/>
        </w:rPr>
        <w:t>“</w:t>
      </w:r>
      <w:proofErr w:type="gramEnd"/>
      <w:r>
        <w:rPr>
          <w:rFonts w:ascii="Arial" w:hAnsi="Arial" w:cs="Arial"/>
          <w:i/>
          <w:iCs/>
          <w:highlight w:val="cyan"/>
        </w:rPr>
        <w:t xml:space="preserve"> v § 4 a § 19 ZDP v </w:t>
      </w:r>
      <w:proofErr w:type="spellStart"/>
      <w:r>
        <w:rPr>
          <w:rFonts w:ascii="Arial" w:hAnsi="Arial" w:cs="Arial"/>
          <w:i/>
          <w:iCs/>
          <w:highlight w:val="cyan"/>
        </w:rPr>
        <w:t>období</w:t>
      </w:r>
      <w:proofErr w:type="spellEnd"/>
      <w:r>
        <w:rPr>
          <w:rFonts w:ascii="Arial" w:hAnsi="Arial" w:cs="Arial"/>
          <w:i/>
          <w:iCs/>
          <w:highlight w:val="cyan"/>
        </w:rPr>
        <w:br/>
        <w:t xml:space="preserve">od 1. 1. 1995 do 31. 12. 2007, </w:t>
      </w:r>
      <w:proofErr w:type="spellStart"/>
      <w:r>
        <w:rPr>
          <w:rFonts w:ascii="Arial" w:hAnsi="Arial" w:cs="Arial"/>
          <w:i/>
          <w:iCs/>
          <w:highlight w:val="cyan"/>
        </w:rPr>
        <w:t>nebo</w:t>
      </w:r>
      <w:proofErr w:type="spellEnd"/>
    </w:p>
    <w:p w14:paraId="7F7FE00A" w14:textId="77777777" w:rsidR="005E4E00" w:rsidRDefault="005E4E00" w:rsidP="005E4E00">
      <w:pPr>
        <w:pStyle w:val="Odstavecseseznamem"/>
        <w:numPr>
          <w:ilvl w:val="0"/>
          <w:numId w:val="57"/>
        </w:numPr>
        <w:spacing w:after="0" w:line="240" w:lineRule="auto"/>
        <w:contextualSpacing/>
        <w:jc w:val="both"/>
        <w:rPr>
          <w:rFonts w:ascii="Arial" w:hAnsi="Arial" w:cs="Arial"/>
          <w:i/>
          <w:iCs/>
          <w:highlight w:val="cyan"/>
        </w:rPr>
      </w:pPr>
      <w:r>
        <w:rPr>
          <w:rFonts w:ascii="Arial" w:hAnsi="Arial" w:cs="Arial"/>
          <w:i/>
          <w:iCs/>
          <w:highlight w:val="cyan"/>
        </w:rPr>
        <w:lastRenderedPageBreak/>
        <w:t>„</w:t>
      </w:r>
      <w:proofErr w:type="spellStart"/>
      <w:r w:rsidRPr="00CC3A6E">
        <w:rPr>
          <w:rFonts w:ascii="Arial" w:hAnsi="Arial" w:cs="Arial"/>
          <w:i/>
          <w:iCs/>
          <w:highlight w:val="cyan"/>
        </w:rPr>
        <w:t>úroky</w:t>
      </w:r>
      <w:proofErr w:type="spellEnd"/>
      <w:r w:rsidRPr="00CC3A6E">
        <w:rPr>
          <w:rFonts w:ascii="Arial" w:hAnsi="Arial" w:cs="Arial"/>
          <w:i/>
          <w:iCs/>
          <w:highlight w:val="cyan"/>
        </w:rPr>
        <w:t xml:space="preserve"> a </w:t>
      </w:r>
      <w:proofErr w:type="spellStart"/>
      <w:r w:rsidRPr="00CC3A6E">
        <w:rPr>
          <w:rFonts w:ascii="Arial" w:hAnsi="Arial" w:cs="Arial"/>
          <w:i/>
          <w:iCs/>
          <w:highlight w:val="cyan"/>
        </w:rPr>
        <w:t>jiné</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výnosy</w:t>
      </w:r>
      <w:proofErr w:type="spellEnd"/>
      <w:r w:rsidRPr="00CC3A6E">
        <w:rPr>
          <w:rFonts w:ascii="Arial" w:hAnsi="Arial" w:cs="Arial"/>
          <w:i/>
          <w:iCs/>
          <w:highlight w:val="cyan"/>
        </w:rPr>
        <w:t xml:space="preserve"> z </w:t>
      </w:r>
      <w:proofErr w:type="spellStart"/>
      <w:r w:rsidRPr="00CC3A6E">
        <w:rPr>
          <w:rFonts w:ascii="Arial" w:hAnsi="Arial" w:cs="Arial"/>
          <w:i/>
          <w:iCs/>
          <w:highlight w:val="cyan"/>
        </w:rPr>
        <w:t>úvěrových</w:t>
      </w:r>
      <w:proofErr w:type="spellEnd"/>
      <w:r w:rsidRPr="00CC3A6E">
        <w:rPr>
          <w:rFonts w:ascii="Arial" w:hAnsi="Arial" w:cs="Arial"/>
          <w:i/>
          <w:iCs/>
          <w:highlight w:val="cyan"/>
        </w:rPr>
        <w:t xml:space="preserve"> </w:t>
      </w:r>
      <w:proofErr w:type="spellStart"/>
      <w:r w:rsidRPr="00CC3A6E">
        <w:rPr>
          <w:rFonts w:ascii="Arial" w:hAnsi="Arial" w:cs="Arial"/>
          <w:i/>
          <w:iCs/>
          <w:highlight w:val="cyan"/>
        </w:rPr>
        <w:t>finančních</w:t>
      </w:r>
      <w:proofErr w:type="spellEnd"/>
      <w:r w:rsidRPr="00CC3A6E">
        <w:rPr>
          <w:rFonts w:ascii="Arial" w:hAnsi="Arial" w:cs="Arial"/>
          <w:i/>
          <w:iCs/>
          <w:highlight w:val="cyan"/>
        </w:rPr>
        <w:t xml:space="preserve"> </w:t>
      </w:r>
      <w:proofErr w:type="spellStart"/>
      <w:proofErr w:type="gramStart"/>
      <w:r w:rsidRPr="00CC3A6E">
        <w:rPr>
          <w:rFonts w:ascii="Arial" w:hAnsi="Arial" w:cs="Arial"/>
          <w:i/>
          <w:iCs/>
          <w:highlight w:val="cyan"/>
        </w:rPr>
        <w:t>nástrojů</w:t>
      </w:r>
      <w:proofErr w:type="spellEnd"/>
      <w:r w:rsidRPr="00CC3A6E">
        <w:rPr>
          <w:rFonts w:ascii="Arial" w:hAnsi="Arial" w:cs="Arial"/>
          <w:i/>
          <w:iCs/>
          <w:highlight w:val="cyan"/>
        </w:rPr>
        <w:t>“ v</w:t>
      </w:r>
      <w:proofErr w:type="gramEnd"/>
      <w:r w:rsidRPr="00CC3A6E">
        <w:rPr>
          <w:rFonts w:ascii="Arial" w:hAnsi="Arial" w:cs="Arial"/>
          <w:i/>
          <w:iCs/>
          <w:highlight w:val="cyan"/>
        </w:rPr>
        <w:t xml:space="preserve"> § 22 </w:t>
      </w:r>
      <w:proofErr w:type="spellStart"/>
      <w:r w:rsidRPr="00CC3A6E">
        <w:rPr>
          <w:rFonts w:ascii="Arial" w:hAnsi="Arial" w:cs="Arial"/>
          <w:i/>
          <w:iCs/>
          <w:highlight w:val="cyan"/>
        </w:rPr>
        <w:t>odst</w:t>
      </w:r>
      <w:proofErr w:type="spellEnd"/>
      <w:r w:rsidRPr="00CC3A6E">
        <w:rPr>
          <w:rFonts w:ascii="Arial" w:hAnsi="Arial" w:cs="Arial"/>
          <w:i/>
          <w:iCs/>
          <w:highlight w:val="cyan"/>
        </w:rPr>
        <w:t xml:space="preserve">. 1) </w:t>
      </w:r>
      <w:proofErr w:type="spellStart"/>
      <w:r w:rsidRPr="00CC3A6E">
        <w:rPr>
          <w:rFonts w:ascii="Arial" w:hAnsi="Arial" w:cs="Arial"/>
          <w:i/>
          <w:iCs/>
          <w:highlight w:val="cyan"/>
        </w:rPr>
        <w:t>písm</w:t>
      </w:r>
      <w:proofErr w:type="spellEnd"/>
      <w:r w:rsidRPr="00CC3A6E">
        <w:rPr>
          <w:rFonts w:ascii="Arial" w:hAnsi="Arial" w:cs="Arial"/>
          <w:i/>
          <w:iCs/>
          <w:highlight w:val="cyan"/>
        </w:rPr>
        <w:t>. g) bod 4 ZDP.</w:t>
      </w:r>
    </w:p>
    <w:p w14:paraId="67C2CC6D" w14:textId="77777777" w:rsidR="005E4E00" w:rsidRDefault="005E4E00" w:rsidP="005E4E00">
      <w:pPr>
        <w:jc w:val="both"/>
        <w:rPr>
          <w:rFonts w:ascii="Arial" w:hAnsi="Arial" w:cs="Arial"/>
          <w:i/>
          <w:iCs/>
          <w:highlight w:val="cyan"/>
        </w:rPr>
      </w:pPr>
    </w:p>
    <w:p w14:paraId="372967E9" w14:textId="77777777" w:rsidR="005E4E00" w:rsidRPr="00CC3A6E" w:rsidRDefault="005E4E00" w:rsidP="005E4E00">
      <w:pPr>
        <w:jc w:val="both"/>
        <w:rPr>
          <w:rFonts w:ascii="Arial" w:hAnsi="Arial" w:cs="Arial"/>
          <w:i/>
          <w:iCs/>
          <w:highlight w:val="cyan"/>
        </w:rPr>
      </w:pPr>
      <w:r>
        <w:rPr>
          <w:rFonts w:ascii="Arial" w:hAnsi="Arial" w:cs="Arial"/>
          <w:i/>
          <w:iCs/>
          <w:highlight w:val="cyan"/>
        </w:rPr>
        <w:t xml:space="preserve">Tyto </w:t>
      </w:r>
      <w:proofErr w:type="spellStart"/>
      <w:r>
        <w:rPr>
          <w:rFonts w:ascii="Arial" w:hAnsi="Arial" w:cs="Arial"/>
          <w:i/>
          <w:iCs/>
          <w:highlight w:val="cyan"/>
        </w:rPr>
        <w:t>pojmy</w:t>
      </w:r>
      <w:proofErr w:type="spellEnd"/>
      <w:r>
        <w:rPr>
          <w:rFonts w:ascii="Arial" w:hAnsi="Arial" w:cs="Arial"/>
          <w:i/>
          <w:iCs/>
          <w:highlight w:val="cyan"/>
        </w:rPr>
        <w:t xml:space="preserve"> </w:t>
      </w:r>
      <w:proofErr w:type="spellStart"/>
      <w:r>
        <w:rPr>
          <w:rFonts w:ascii="Arial" w:hAnsi="Arial" w:cs="Arial"/>
          <w:i/>
          <w:iCs/>
          <w:highlight w:val="cyan"/>
        </w:rPr>
        <w:t>přitom</w:t>
      </w:r>
      <w:proofErr w:type="spellEnd"/>
      <w:r>
        <w:rPr>
          <w:rFonts w:ascii="Arial" w:hAnsi="Arial" w:cs="Arial"/>
          <w:i/>
          <w:iCs/>
          <w:highlight w:val="cyan"/>
        </w:rPr>
        <w:t xml:space="preserve"> </w:t>
      </w:r>
      <w:proofErr w:type="spellStart"/>
      <w:r>
        <w:rPr>
          <w:rFonts w:ascii="Arial" w:hAnsi="Arial" w:cs="Arial"/>
          <w:i/>
          <w:iCs/>
          <w:highlight w:val="cyan"/>
        </w:rPr>
        <w:t>byly</w:t>
      </w:r>
      <w:proofErr w:type="spellEnd"/>
      <w:r>
        <w:rPr>
          <w:rFonts w:ascii="Arial" w:hAnsi="Arial" w:cs="Arial"/>
          <w:i/>
          <w:iCs/>
          <w:highlight w:val="cyan"/>
        </w:rPr>
        <w:t xml:space="preserve"> </w:t>
      </w:r>
      <w:proofErr w:type="spellStart"/>
      <w:r>
        <w:rPr>
          <w:rFonts w:ascii="Arial" w:hAnsi="Arial" w:cs="Arial"/>
          <w:i/>
          <w:iCs/>
          <w:highlight w:val="cyan"/>
        </w:rPr>
        <w:t>vždy</w:t>
      </w:r>
      <w:proofErr w:type="spellEnd"/>
      <w:r>
        <w:rPr>
          <w:rFonts w:ascii="Arial" w:hAnsi="Arial" w:cs="Arial"/>
          <w:i/>
          <w:iCs/>
          <w:highlight w:val="cyan"/>
        </w:rPr>
        <w:t xml:space="preserve"> </w:t>
      </w:r>
      <w:proofErr w:type="spellStart"/>
      <w:r>
        <w:rPr>
          <w:rFonts w:ascii="Arial" w:hAnsi="Arial" w:cs="Arial"/>
          <w:i/>
          <w:iCs/>
          <w:highlight w:val="cyan"/>
        </w:rPr>
        <w:t>interpretovány</w:t>
      </w:r>
      <w:proofErr w:type="spellEnd"/>
      <w:r>
        <w:rPr>
          <w:rFonts w:ascii="Arial" w:hAnsi="Arial" w:cs="Arial"/>
          <w:i/>
          <w:iCs/>
          <w:highlight w:val="cyan"/>
        </w:rPr>
        <w:t xml:space="preserve"> </w:t>
      </w:r>
      <w:proofErr w:type="spellStart"/>
      <w:r>
        <w:rPr>
          <w:rFonts w:ascii="Arial" w:hAnsi="Arial" w:cs="Arial"/>
          <w:i/>
          <w:iCs/>
          <w:highlight w:val="cyan"/>
        </w:rPr>
        <w:t>tak</w:t>
      </w:r>
      <w:proofErr w:type="spellEnd"/>
      <w:r>
        <w:rPr>
          <w:rFonts w:ascii="Arial" w:hAnsi="Arial" w:cs="Arial"/>
          <w:i/>
          <w:iCs/>
          <w:highlight w:val="cyan"/>
        </w:rPr>
        <w:t xml:space="preserve">, </w:t>
      </w:r>
      <w:proofErr w:type="spellStart"/>
      <w:r>
        <w:rPr>
          <w:rFonts w:ascii="Arial" w:hAnsi="Arial" w:cs="Arial"/>
          <w:i/>
          <w:iCs/>
          <w:highlight w:val="cyan"/>
        </w:rPr>
        <w:t>že</w:t>
      </w:r>
      <w:proofErr w:type="spellEnd"/>
      <w:r>
        <w:rPr>
          <w:rFonts w:ascii="Arial" w:hAnsi="Arial" w:cs="Arial"/>
          <w:i/>
          <w:iCs/>
          <w:highlight w:val="cyan"/>
        </w:rPr>
        <w:t xml:space="preserve"> se </w:t>
      </w:r>
      <w:proofErr w:type="spellStart"/>
      <w:r>
        <w:rPr>
          <w:rFonts w:ascii="Arial" w:hAnsi="Arial" w:cs="Arial"/>
          <w:i/>
          <w:iCs/>
          <w:highlight w:val="cyan"/>
        </w:rPr>
        <w:t>jedná</w:t>
      </w:r>
      <w:proofErr w:type="spellEnd"/>
      <w:r>
        <w:rPr>
          <w:rFonts w:ascii="Arial" w:hAnsi="Arial" w:cs="Arial"/>
          <w:i/>
          <w:iCs/>
          <w:highlight w:val="cyan"/>
        </w:rPr>
        <w:t xml:space="preserve"> o </w:t>
      </w:r>
      <w:proofErr w:type="spellStart"/>
      <w:r>
        <w:rPr>
          <w:rFonts w:ascii="Arial" w:hAnsi="Arial" w:cs="Arial"/>
          <w:i/>
          <w:iCs/>
          <w:highlight w:val="cyan"/>
        </w:rPr>
        <w:t>výnos</w:t>
      </w:r>
      <w:proofErr w:type="spellEnd"/>
      <w:r>
        <w:rPr>
          <w:rFonts w:ascii="Arial" w:hAnsi="Arial" w:cs="Arial"/>
          <w:i/>
          <w:iCs/>
          <w:highlight w:val="cyan"/>
        </w:rPr>
        <w:t xml:space="preserve"> </w:t>
      </w:r>
      <w:proofErr w:type="spellStart"/>
      <w:r>
        <w:rPr>
          <w:rFonts w:ascii="Arial" w:hAnsi="Arial" w:cs="Arial"/>
          <w:i/>
          <w:iCs/>
          <w:highlight w:val="cyan"/>
        </w:rPr>
        <w:t>mající</w:t>
      </w:r>
      <w:proofErr w:type="spellEnd"/>
      <w:r>
        <w:rPr>
          <w:rFonts w:ascii="Arial" w:hAnsi="Arial" w:cs="Arial"/>
          <w:i/>
          <w:iCs/>
          <w:highlight w:val="cyan"/>
        </w:rPr>
        <w:t xml:space="preserve"> </w:t>
      </w:r>
      <w:proofErr w:type="spellStart"/>
      <w:r>
        <w:rPr>
          <w:rFonts w:ascii="Arial" w:hAnsi="Arial" w:cs="Arial"/>
          <w:i/>
          <w:iCs/>
          <w:highlight w:val="cyan"/>
        </w:rPr>
        <w:t>přímou</w:t>
      </w:r>
      <w:proofErr w:type="spellEnd"/>
      <w:r>
        <w:rPr>
          <w:rFonts w:ascii="Arial" w:hAnsi="Arial" w:cs="Arial"/>
          <w:i/>
          <w:iCs/>
          <w:highlight w:val="cyan"/>
        </w:rPr>
        <w:t xml:space="preserve"> </w:t>
      </w:r>
      <w:proofErr w:type="spellStart"/>
      <w:r>
        <w:rPr>
          <w:rFonts w:ascii="Arial" w:hAnsi="Arial" w:cs="Arial"/>
          <w:i/>
          <w:iCs/>
          <w:highlight w:val="cyan"/>
        </w:rPr>
        <w:t>vazbu</w:t>
      </w:r>
      <w:proofErr w:type="spellEnd"/>
      <w:r>
        <w:rPr>
          <w:rFonts w:ascii="Arial" w:hAnsi="Arial" w:cs="Arial"/>
          <w:i/>
          <w:iCs/>
          <w:highlight w:val="cyan"/>
        </w:rPr>
        <w:t xml:space="preserve"> </w:t>
      </w:r>
      <w:proofErr w:type="spellStart"/>
      <w:r>
        <w:rPr>
          <w:rFonts w:ascii="Arial" w:hAnsi="Arial" w:cs="Arial"/>
          <w:i/>
          <w:iCs/>
          <w:highlight w:val="cyan"/>
        </w:rPr>
        <w:t>na</w:t>
      </w:r>
      <w:proofErr w:type="spellEnd"/>
      <w:r>
        <w:rPr>
          <w:rFonts w:ascii="Arial" w:hAnsi="Arial" w:cs="Arial"/>
          <w:i/>
          <w:iCs/>
          <w:highlight w:val="cyan"/>
        </w:rPr>
        <w:t xml:space="preserve"> </w:t>
      </w:r>
      <w:proofErr w:type="spellStart"/>
      <w:r>
        <w:rPr>
          <w:rFonts w:ascii="Arial" w:hAnsi="Arial" w:cs="Arial"/>
          <w:i/>
          <w:iCs/>
          <w:highlight w:val="cyan"/>
        </w:rPr>
        <w:t>daný</w:t>
      </w:r>
      <w:proofErr w:type="spellEnd"/>
      <w:r>
        <w:rPr>
          <w:rFonts w:ascii="Arial" w:hAnsi="Arial" w:cs="Arial"/>
          <w:i/>
          <w:iCs/>
          <w:highlight w:val="cyan"/>
        </w:rPr>
        <w:t xml:space="preserve"> instrument.</w:t>
      </w:r>
    </w:p>
    <w:p w14:paraId="4A842837" w14:textId="77777777" w:rsidR="005E4E00" w:rsidRDefault="005E4E00" w:rsidP="005E4E00">
      <w:pPr>
        <w:jc w:val="both"/>
        <w:rPr>
          <w:rFonts w:ascii="Arial" w:hAnsi="Arial" w:cs="Arial"/>
          <w:b/>
          <w:bCs/>
          <w:i/>
          <w:iCs/>
          <w:highlight w:val="cyan"/>
        </w:rPr>
      </w:pPr>
    </w:p>
    <w:p w14:paraId="4B07A643" w14:textId="77777777" w:rsidR="005E4E00" w:rsidRPr="00E15BDF" w:rsidRDefault="005E4E00" w:rsidP="005E4E00">
      <w:pPr>
        <w:jc w:val="both"/>
        <w:rPr>
          <w:rFonts w:ascii="Arial" w:hAnsi="Arial" w:cs="Arial"/>
          <w:b/>
          <w:bCs/>
          <w:i/>
          <w:iCs/>
          <w:highlight w:val="cyan"/>
        </w:rPr>
      </w:pPr>
      <w:proofErr w:type="spellStart"/>
      <w:r w:rsidRPr="001451AD">
        <w:rPr>
          <w:rFonts w:ascii="Arial" w:hAnsi="Arial" w:cs="Arial"/>
          <w:b/>
          <w:bCs/>
          <w:i/>
          <w:iCs/>
          <w:highlight w:val="cyan"/>
          <w:u w:val="single"/>
        </w:rPr>
        <w:t>Závěr</w:t>
      </w:r>
      <w:proofErr w:type="spellEnd"/>
      <w:r w:rsidRPr="00E15BDF">
        <w:rPr>
          <w:rFonts w:ascii="Arial" w:hAnsi="Arial" w:cs="Arial"/>
          <w:b/>
          <w:bCs/>
          <w:i/>
          <w:iCs/>
          <w:highlight w:val="cyan"/>
        </w:rPr>
        <w:t>:</w:t>
      </w:r>
    </w:p>
    <w:p w14:paraId="7F8241D6" w14:textId="77777777" w:rsidR="005E4E00" w:rsidRDefault="005E4E00" w:rsidP="005E4E00">
      <w:pPr>
        <w:jc w:val="both"/>
        <w:rPr>
          <w:rFonts w:ascii="Arial" w:hAnsi="Arial" w:cs="Arial"/>
          <w:i/>
          <w:iCs/>
          <w:highlight w:val="cyan"/>
        </w:rPr>
      </w:pPr>
    </w:p>
    <w:p w14:paraId="4324A55B" w14:textId="77777777" w:rsidR="005E4E00" w:rsidRDefault="005E4E00" w:rsidP="005E4E00">
      <w:pPr>
        <w:jc w:val="both"/>
        <w:rPr>
          <w:rFonts w:ascii="Arial" w:hAnsi="Arial" w:cs="Arial"/>
          <w:i/>
          <w:iCs/>
          <w:highlight w:val="cyan"/>
        </w:rPr>
      </w:pPr>
      <w:r w:rsidRPr="009A2DD5">
        <w:rPr>
          <w:rFonts w:ascii="Arial" w:hAnsi="Arial" w:cs="Arial"/>
          <w:i/>
          <w:iCs/>
          <w:highlight w:val="cyan"/>
        </w:rPr>
        <w:t xml:space="preserve">Z </w:t>
      </w:r>
      <w:proofErr w:type="spellStart"/>
      <w:r w:rsidRPr="009A2DD5">
        <w:rPr>
          <w:rFonts w:ascii="Arial" w:hAnsi="Arial" w:cs="Arial"/>
          <w:i/>
          <w:iCs/>
          <w:highlight w:val="cyan"/>
        </w:rPr>
        <w:t>hlediska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smyslu</w:t>
      </w:r>
      <w:proofErr w:type="spellEnd"/>
      <w:r w:rsidRPr="009A2DD5">
        <w:rPr>
          <w:rFonts w:ascii="Arial" w:hAnsi="Arial" w:cs="Arial"/>
          <w:i/>
          <w:iCs/>
          <w:highlight w:val="cyan"/>
        </w:rPr>
        <w:t xml:space="preserve"> a </w:t>
      </w:r>
      <w:proofErr w:type="spellStart"/>
      <w:r w:rsidRPr="009A2DD5">
        <w:rPr>
          <w:rFonts w:ascii="Arial" w:hAnsi="Arial" w:cs="Arial"/>
          <w:i/>
          <w:iCs/>
          <w:highlight w:val="cyan"/>
        </w:rPr>
        <w:t>účelu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zákona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pojem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výnos</w:t>
      </w:r>
      <w:proofErr w:type="spellEnd"/>
      <w:r w:rsidRPr="009A2DD5">
        <w:rPr>
          <w:rFonts w:ascii="Arial" w:hAnsi="Arial" w:cs="Arial"/>
          <w:i/>
          <w:iCs/>
          <w:highlight w:val="cyan"/>
        </w:rPr>
        <w:t xml:space="preserve"> z </w:t>
      </w:r>
      <w:proofErr w:type="spellStart"/>
      <w:r w:rsidRPr="009A2DD5">
        <w:rPr>
          <w:rFonts w:ascii="Arial" w:hAnsi="Arial" w:cs="Arial"/>
          <w:i/>
          <w:iCs/>
          <w:highlight w:val="cyan"/>
        </w:rPr>
        <w:t>poskytnutých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nezahrnuje</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jakýkoliv</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výnos</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související</w:t>
      </w:r>
      <w:proofErr w:type="spellEnd"/>
      <w:r w:rsidRPr="009A2DD5">
        <w:rPr>
          <w:rFonts w:ascii="Arial" w:hAnsi="Arial" w:cs="Arial"/>
          <w:i/>
          <w:iCs/>
          <w:highlight w:val="cyan"/>
        </w:rPr>
        <w:t xml:space="preserve"> s </w:t>
      </w:r>
      <w:proofErr w:type="spellStart"/>
      <w:r w:rsidRPr="009A2DD5">
        <w:rPr>
          <w:rFonts w:ascii="Arial" w:hAnsi="Arial" w:cs="Arial"/>
          <w:i/>
          <w:iCs/>
          <w:highlight w:val="cyan"/>
        </w:rPr>
        <w:t>poskytnutím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Jedná</w:t>
      </w:r>
      <w:proofErr w:type="spellEnd"/>
      <w:r w:rsidRPr="009A2DD5">
        <w:rPr>
          <w:rFonts w:ascii="Arial" w:hAnsi="Arial" w:cs="Arial"/>
          <w:i/>
          <w:iCs/>
          <w:highlight w:val="cyan"/>
        </w:rPr>
        <w:t xml:space="preserve"> se o </w:t>
      </w:r>
      <w:proofErr w:type="spellStart"/>
      <w:r w:rsidRPr="009A2DD5">
        <w:rPr>
          <w:rFonts w:ascii="Arial" w:hAnsi="Arial" w:cs="Arial"/>
          <w:i/>
          <w:iCs/>
          <w:highlight w:val="cyan"/>
        </w:rPr>
        <w:t>výnos</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odměnu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který</w:t>
      </w:r>
      <w:proofErr w:type="spellEnd"/>
      <w:r>
        <w:rPr>
          <w:rFonts w:ascii="Arial" w:hAnsi="Arial" w:cs="Arial"/>
          <w:i/>
          <w:iCs/>
          <w:highlight w:val="cyan"/>
        </w:rPr>
        <w:br/>
      </w:r>
      <w:r w:rsidRPr="009A2DD5">
        <w:rPr>
          <w:rFonts w:ascii="Arial" w:hAnsi="Arial" w:cs="Arial"/>
          <w:i/>
          <w:iCs/>
          <w:highlight w:val="cyan"/>
        </w:rPr>
        <w:t xml:space="preserve">je </w:t>
      </w:r>
      <w:proofErr w:type="spellStart"/>
      <w:r w:rsidRPr="009A2DD5">
        <w:rPr>
          <w:rFonts w:ascii="Arial" w:hAnsi="Arial" w:cs="Arial"/>
          <w:i/>
          <w:iCs/>
          <w:highlight w:val="cyan"/>
        </w:rPr>
        <w:t>generován</w:t>
      </w:r>
      <w:proofErr w:type="spellEnd"/>
      <w:r w:rsidRPr="009A2DD5">
        <w:rPr>
          <w:rFonts w:ascii="Arial" w:hAnsi="Arial" w:cs="Arial"/>
          <w:i/>
          <w:iCs/>
          <w:highlight w:val="cyan"/>
        </w:rPr>
        <w:t xml:space="preserve"> z </w:t>
      </w:r>
      <w:proofErr w:type="spellStart"/>
      <w:r w:rsidRPr="009A2DD5">
        <w:rPr>
          <w:rFonts w:ascii="Arial" w:hAnsi="Arial" w:cs="Arial"/>
          <w:i/>
          <w:iCs/>
          <w:highlight w:val="cyan"/>
        </w:rPr>
        <w:t>titulu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samotného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poskytnutí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finančních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prostředků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jednak</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odměna</w:t>
      </w:r>
      <w:proofErr w:type="spellEnd"/>
      <w:r w:rsidRPr="009A2DD5">
        <w:rPr>
          <w:rFonts w:ascii="Arial" w:hAnsi="Arial" w:cs="Arial"/>
          <w:i/>
          <w:iCs/>
          <w:highlight w:val="cyan"/>
        </w:rPr>
        <w:t xml:space="preserve"> za </w:t>
      </w:r>
      <w:proofErr w:type="spellStart"/>
      <w:r w:rsidRPr="009A2DD5">
        <w:rPr>
          <w:rFonts w:ascii="Arial" w:hAnsi="Arial" w:cs="Arial"/>
          <w:i/>
          <w:iCs/>
          <w:highlight w:val="cyan"/>
        </w:rPr>
        <w:t>poskytnutí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těchto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prostředků</w:t>
      </w:r>
      <w:proofErr w:type="spellEnd"/>
      <w:r w:rsidRPr="009A2DD5">
        <w:rPr>
          <w:rFonts w:ascii="Arial" w:hAnsi="Arial" w:cs="Arial"/>
          <w:i/>
          <w:iCs/>
          <w:highlight w:val="cyan"/>
        </w:rPr>
        <w:t xml:space="preserve"> </w:t>
      </w:r>
      <w:r>
        <w:rPr>
          <w:rFonts w:ascii="Arial" w:hAnsi="Arial" w:cs="Arial"/>
          <w:i/>
          <w:iCs/>
          <w:highlight w:val="cyan"/>
        </w:rPr>
        <w:t xml:space="preserve">(v </w:t>
      </w:r>
      <w:proofErr w:type="spellStart"/>
      <w:r>
        <w:rPr>
          <w:rFonts w:ascii="Arial" w:hAnsi="Arial" w:cs="Arial"/>
          <w:i/>
          <w:iCs/>
          <w:highlight w:val="cyan"/>
        </w:rPr>
        <w:t>podobě</w:t>
      </w:r>
      <w:proofErr w:type="spellEnd"/>
      <w:r>
        <w:rPr>
          <w:rFonts w:ascii="Arial" w:hAnsi="Arial" w:cs="Arial"/>
          <w:i/>
          <w:iCs/>
          <w:highlight w:val="cyan"/>
        </w:rPr>
        <w:t xml:space="preserve"> </w:t>
      </w:r>
      <w:proofErr w:type="spellStart"/>
      <w:r>
        <w:rPr>
          <w:rFonts w:ascii="Arial" w:hAnsi="Arial" w:cs="Arial"/>
          <w:i/>
          <w:iCs/>
          <w:highlight w:val="cyan"/>
        </w:rPr>
        <w:t>úroku</w:t>
      </w:r>
      <w:proofErr w:type="spellEnd"/>
      <w:r>
        <w:rPr>
          <w:rFonts w:ascii="Arial" w:hAnsi="Arial" w:cs="Arial"/>
          <w:i/>
          <w:iCs/>
          <w:highlight w:val="cyan"/>
        </w:rPr>
        <w:t xml:space="preserve">) </w:t>
      </w:r>
      <w:r w:rsidRPr="009A2DD5">
        <w:rPr>
          <w:rFonts w:ascii="Arial" w:hAnsi="Arial" w:cs="Arial"/>
          <w:i/>
          <w:iCs/>
          <w:highlight w:val="cyan"/>
        </w:rPr>
        <w:t xml:space="preserve">a </w:t>
      </w:r>
      <w:proofErr w:type="spellStart"/>
      <w:r w:rsidRPr="009A2DD5">
        <w:rPr>
          <w:rFonts w:ascii="Arial" w:hAnsi="Arial" w:cs="Arial"/>
          <w:i/>
          <w:iCs/>
          <w:highlight w:val="cyan"/>
        </w:rPr>
        <w:t>jednak</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úhrada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nákladů</w:t>
      </w:r>
      <w:proofErr w:type="spellEnd"/>
      <w:r w:rsidRPr="009A2DD5">
        <w:rPr>
          <w:rFonts w:ascii="Arial" w:hAnsi="Arial" w:cs="Arial"/>
          <w:i/>
          <w:iCs/>
          <w:highlight w:val="cyan"/>
        </w:rPr>
        <w:t xml:space="preserve"> </w:t>
      </w:r>
      <w:r>
        <w:rPr>
          <w:rFonts w:ascii="Arial" w:hAnsi="Arial" w:cs="Arial"/>
          <w:i/>
          <w:iCs/>
          <w:highlight w:val="cyan"/>
        </w:rPr>
        <w:br/>
      </w:r>
      <w:proofErr w:type="spellStart"/>
      <w:r w:rsidRPr="009A2DD5">
        <w:rPr>
          <w:rFonts w:ascii="Arial" w:hAnsi="Arial" w:cs="Arial"/>
          <w:i/>
          <w:iCs/>
          <w:highlight w:val="cyan"/>
        </w:rPr>
        <w:t>na</w:t>
      </w:r>
      <w:proofErr w:type="spellEnd"/>
      <w:r>
        <w:rPr>
          <w:rFonts w:ascii="Arial" w:hAnsi="Arial" w:cs="Arial"/>
          <w:i/>
          <w:iCs/>
          <w:highlight w:val="cyan"/>
        </w:rPr>
        <w:t xml:space="preserve"> </w:t>
      </w:r>
      <w:proofErr w:type="spellStart"/>
      <w:r>
        <w:rPr>
          <w:rFonts w:ascii="Arial" w:hAnsi="Arial" w:cs="Arial"/>
          <w:i/>
          <w:iCs/>
          <w:highlight w:val="cyan"/>
        </w:rPr>
        <w:t>jeho</w:t>
      </w:r>
      <w:proofErr w:type="spellEnd"/>
      <w:r>
        <w:rPr>
          <w:rFonts w:ascii="Arial" w:hAnsi="Arial" w:cs="Arial"/>
          <w:i/>
          <w:iCs/>
          <w:highlight w:val="cyan"/>
        </w:rPr>
        <w:t xml:space="preserve"> </w:t>
      </w:r>
      <w:proofErr w:type="spellStart"/>
      <w:r>
        <w:rPr>
          <w:rFonts w:ascii="Arial" w:hAnsi="Arial" w:cs="Arial"/>
          <w:i/>
          <w:iCs/>
          <w:highlight w:val="cyan"/>
        </w:rPr>
        <w:t>uzavření</w:t>
      </w:r>
      <w:proofErr w:type="spellEnd"/>
      <w:r>
        <w:rPr>
          <w:rFonts w:ascii="Arial" w:hAnsi="Arial" w:cs="Arial"/>
          <w:i/>
          <w:iCs/>
          <w:highlight w:val="cyan"/>
        </w:rPr>
        <w:t xml:space="preserve"> a </w:t>
      </w:r>
      <w:proofErr w:type="spellStart"/>
      <w:r>
        <w:rPr>
          <w:rFonts w:ascii="Arial" w:hAnsi="Arial" w:cs="Arial"/>
          <w:i/>
          <w:iCs/>
          <w:highlight w:val="cyan"/>
        </w:rPr>
        <w:t>následnou</w:t>
      </w:r>
      <w:proofErr w:type="spellEnd"/>
      <w:r>
        <w:rPr>
          <w:rFonts w:ascii="Arial" w:hAnsi="Arial" w:cs="Arial"/>
          <w:i/>
          <w:iCs/>
          <w:highlight w:val="cyan"/>
        </w:rPr>
        <w:t xml:space="preserve"> </w:t>
      </w:r>
      <w:proofErr w:type="spellStart"/>
      <w:r w:rsidRPr="009A2DD5">
        <w:rPr>
          <w:rFonts w:ascii="Arial" w:hAnsi="Arial" w:cs="Arial"/>
          <w:i/>
          <w:iCs/>
          <w:highlight w:val="cyan"/>
        </w:rPr>
        <w:t>správu</w:t>
      </w:r>
      <w:proofErr w:type="spellEnd"/>
      <w:r w:rsidRPr="009A2DD5">
        <w:rPr>
          <w:rFonts w:ascii="Arial" w:hAnsi="Arial" w:cs="Arial"/>
          <w:i/>
          <w:iCs/>
          <w:highlight w:val="cyan"/>
        </w:rPr>
        <w:t>.</w:t>
      </w:r>
    </w:p>
    <w:p w14:paraId="6FE85C36" w14:textId="77777777" w:rsidR="005E4E00" w:rsidRDefault="005E4E00" w:rsidP="005E4E00">
      <w:pPr>
        <w:jc w:val="both"/>
        <w:rPr>
          <w:rFonts w:ascii="Arial" w:hAnsi="Arial" w:cs="Arial"/>
          <w:i/>
          <w:iCs/>
          <w:highlight w:val="cyan"/>
        </w:rPr>
      </w:pPr>
    </w:p>
    <w:p w14:paraId="402680BF" w14:textId="77777777" w:rsidR="005E4E00" w:rsidRDefault="005E4E00" w:rsidP="005E4E00">
      <w:pPr>
        <w:jc w:val="both"/>
        <w:rPr>
          <w:rFonts w:ascii="Arial" w:hAnsi="Arial" w:cs="Arial"/>
          <w:i/>
          <w:iCs/>
          <w:highlight w:val="cyan"/>
        </w:rPr>
      </w:pPr>
      <w:proofErr w:type="spellStart"/>
      <w:r w:rsidRPr="009A2DD5">
        <w:rPr>
          <w:rFonts w:ascii="Arial" w:hAnsi="Arial" w:cs="Arial"/>
          <w:i/>
          <w:iCs/>
          <w:highlight w:val="cyan"/>
        </w:rPr>
        <w:t>Výnosy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generované</w:t>
      </w:r>
      <w:proofErr w:type="spellEnd"/>
      <w:r w:rsidRPr="009A2DD5">
        <w:rPr>
          <w:rFonts w:ascii="Arial" w:hAnsi="Arial" w:cs="Arial"/>
          <w:i/>
          <w:iCs/>
          <w:highlight w:val="cyan"/>
        </w:rPr>
        <w:t xml:space="preserve"> v </w:t>
      </w:r>
      <w:proofErr w:type="spellStart"/>
      <w:r w:rsidRPr="009A2DD5">
        <w:rPr>
          <w:rFonts w:ascii="Arial" w:hAnsi="Arial" w:cs="Arial"/>
          <w:i/>
          <w:iCs/>
          <w:highlight w:val="cyan"/>
        </w:rPr>
        <w:t>důsledku</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poskytování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dalších</w:t>
      </w:r>
      <w:proofErr w:type="spellEnd"/>
      <w:r w:rsidRPr="009A2DD5">
        <w:rPr>
          <w:rFonts w:ascii="Arial" w:hAnsi="Arial" w:cs="Arial"/>
          <w:i/>
          <w:iCs/>
          <w:highlight w:val="cyan"/>
        </w:rPr>
        <w:t xml:space="preserve"> </w:t>
      </w:r>
      <w:r>
        <w:rPr>
          <w:rFonts w:ascii="Arial" w:hAnsi="Arial" w:cs="Arial"/>
          <w:i/>
          <w:iCs/>
          <w:highlight w:val="cyan"/>
        </w:rPr>
        <w:t>(</w:t>
      </w:r>
      <w:proofErr w:type="spellStart"/>
      <w:r>
        <w:rPr>
          <w:rFonts w:ascii="Arial" w:hAnsi="Arial" w:cs="Arial"/>
          <w:i/>
          <w:iCs/>
          <w:highlight w:val="cyan"/>
        </w:rPr>
        <w:t>jiných</w:t>
      </w:r>
      <w:proofErr w:type="spellEnd"/>
      <w:r>
        <w:rPr>
          <w:rFonts w:ascii="Arial" w:hAnsi="Arial" w:cs="Arial"/>
          <w:i/>
          <w:iCs/>
          <w:highlight w:val="cyan"/>
        </w:rPr>
        <w:t xml:space="preserve">) </w:t>
      </w:r>
      <w:proofErr w:type="spellStart"/>
      <w:r w:rsidRPr="009A2DD5">
        <w:rPr>
          <w:rFonts w:ascii="Arial" w:hAnsi="Arial" w:cs="Arial"/>
          <w:i/>
          <w:iCs/>
          <w:highlight w:val="cyan"/>
        </w:rPr>
        <w:t>služeb</w:t>
      </w:r>
      <w:proofErr w:type="spellEnd"/>
      <w:r w:rsidRPr="009A2DD5">
        <w:rPr>
          <w:rFonts w:ascii="Arial" w:hAnsi="Arial" w:cs="Arial"/>
          <w:i/>
          <w:iCs/>
          <w:highlight w:val="cyan"/>
        </w:rPr>
        <w:t xml:space="preserve"> </w:t>
      </w:r>
      <w:proofErr w:type="spellStart"/>
      <w:r>
        <w:rPr>
          <w:rFonts w:ascii="Arial" w:hAnsi="Arial" w:cs="Arial"/>
          <w:i/>
          <w:iCs/>
          <w:highlight w:val="cyan"/>
        </w:rPr>
        <w:t>souvisejících</w:t>
      </w:r>
      <w:proofErr w:type="spellEnd"/>
      <w:r>
        <w:rPr>
          <w:rFonts w:ascii="Arial" w:hAnsi="Arial" w:cs="Arial"/>
          <w:i/>
          <w:iCs/>
          <w:highlight w:val="cyan"/>
        </w:rPr>
        <w:t xml:space="preserve"> s </w:t>
      </w:r>
      <w:proofErr w:type="spellStart"/>
      <w:r>
        <w:rPr>
          <w:rFonts w:ascii="Arial" w:hAnsi="Arial" w:cs="Arial"/>
          <w:i/>
          <w:iCs/>
          <w:highlight w:val="cyan"/>
        </w:rPr>
        <w:t>poskytnutím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samotného</w:t>
      </w:r>
      <w:proofErr w:type="spellEnd"/>
      <w:r w:rsidRPr="009A2DD5">
        <w:rPr>
          <w:rFonts w:ascii="Arial" w:hAnsi="Arial" w:cs="Arial"/>
          <w:i/>
          <w:iCs/>
          <w:highlight w:val="cyan"/>
        </w:rPr>
        <w:t xml:space="preserve"> </w:t>
      </w:r>
      <w:proofErr w:type="spellStart"/>
      <w:r>
        <w:rPr>
          <w:rFonts w:ascii="Arial" w:hAnsi="Arial" w:cs="Arial"/>
          <w:i/>
          <w:iCs/>
          <w:highlight w:val="cyan"/>
        </w:rPr>
        <w:t>úvěru</w:t>
      </w:r>
      <w:proofErr w:type="spellEnd"/>
      <w:r>
        <w:rPr>
          <w:rFonts w:ascii="Arial" w:hAnsi="Arial" w:cs="Arial"/>
          <w:i/>
          <w:iCs/>
          <w:highlight w:val="cyan"/>
        </w:rPr>
        <w:t xml:space="preserve"> </w:t>
      </w:r>
      <w:r w:rsidRPr="009A2DD5">
        <w:rPr>
          <w:rFonts w:ascii="Arial" w:hAnsi="Arial" w:cs="Arial"/>
          <w:i/>
          <w:iCs/>
          <w:highlight w:val="cyan"/>
        </w:rPr>
        <w:t>(</w:t>
      </w:r>
      <w:proofErr w:type="spellStart"/>
      <w:r w:rsidRPr="009A2DD5">
        <w:rPr>
          <w:rFonts w:ascii="Arial" w:hAnsi="Arial" w:cs="Arial"/>
          <w:i/>
          <w:iCs/>
          <w:highlight w:val="cyan"/>
        </w:rPr>
        <w:t>např</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předkladatelem</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uváděné</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zprostředkování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pojištění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schopnosti</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splácet</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poskytnutý</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již</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nepředstavuj</w:t>
      </w:r>
      <w:r>
        <w:rPr>
          <w:rFonts w:ascii="Arial" w:hAnsi="Arial" w:cs="Arial"/>
          <w:i/>
          <w:iCs/>
          <w:highlight w:val="cyan"/>
        </w:rPr>
        <w:t>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výnos</w:t>
      </w:r>
      <w:r>
        <w:rPr>
          <w:rFonts w:ascii="Arial" w:hAnsi="Arial" w:cs="Arial"/>
          <w:i/>
          <w:iCs/>
          <w:highlight w:val="cyan"/>
        </w:rPr>
        <w:t>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zahrnovan</w:t>
      </w:r>
      <w:r>
        <w:rPr>
          <w:rFonts w:ascii="Arial" w:hAnsi="Arial" w:cs="Arial"/>
          <w:i/>
          <w:iCs/>
          <w:highlight w:val="cyan"/>
        </w:rPr>
        <w:t>é</w:t>
      </w:r>
      <w:proofErr w:type="spellEnd"/>
      <w:r>
        <w:rPr>
          <w:rFonts w:ascii="Arial" w:hAnsi="Arial" w:cs="Arial"/>
          <w:i/>
          <w:iCs/>
          <w:highlight w:val="cyan"/>
        </w:rPr>
        <w:br/>
      </w:r>
      <w:r w:rsidRPr="009A2DD5">
        <w:rPr>
          <w:rFonts w:ascii="Arial" w:hAnsi="Arial" w:cs="Arial"/>
          <w:i/>
          <w:iCs/>
          <w:highlight w:val="cyan"/>
        </w:rPr>
        <w:t xml:space="preserve">pro </w:t>
      </w:r>
      <w:proofErr w:type="spellStart"/>
      <w:r w:rsidRPr="009A2DD5">
        <w:rPr>
          <w:rFonts w:ascii="Arial" w:hAnsi="Arial" w:cs="Arial"/>
          <w:i/>
          <w:iCs/>
          <w:highlight w:val="cyan"/>
        </w:rPr>
        <w:t>účely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naplnění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podmínky</w:t>
      </w:r>
      <w:proofErr w:type="spellEnd"/>
      <w:r w:rsidRPr="009A2DD5">
        <w:rPr>
          <w:rFonts w:ascii="Arial" w:hAnsi="Arial" w:cs="Arial"/>
          <w:i/>
          <w:iCs/>
          <w:highlight w:val="cyan"/>
        </w:rPr>
        <w:t xml:space="preserve"> § 5a </w:t>
      </w:r>
      <w:proofErr w:type="spellStart"/>
      <w:r w:rsidRPr="009A2DD5">
        <w:rPr>
          <w:rFonts w:ascii="Arial" w:hAnsi="Arial" w:cs="Arial"/>
          <w:i/>
          <w:iCs/>
          <w:highlight w:val="cyan"/>
        </w:rPr>
        <w:t>odst</w:t>
      </w:r>
      <w:proofErr w:type="spellEnd"/>
      <w:r w:rsidRPr="009A2DD5">
        <w:rPr>
          <w:rFonts w:ascii="Arial" w:hAnsi="Arial" w:cs="Arial"/>
          <w:i/>
          <w:iCs/>
          <w:highlight w:val="cyan"/>
        </w:rPr>
        <w:t xml:space="preserve">. 2 </w:t>
      </w:r>
      <w:proofErr w:type="spellStart"/>
      <w:r w:rsidRPr="009A2DD5">
        <w:rPr>
          <w:rFonts w:ascii="Arial" w:hAnsi="Arial" w:cs="Arial"/>
          <w:i/>
          <w:iCs/>
          <w:highlight w:val="cyan"/>
        </w:rPr>
        <w:t>písm</w:t>
      </w:r>
      <w:proofErr w:type="spellEnd"/>
      <w:r w:rsidRPr="009A2DD5">
        <w:rPr>
          <w:rFonts w:ascii="Arial" w:hAnsi="Arial" w:cs="Arial"/>
          <w:i/>
          <w:iCs/>
          <w:highlight w:val="cyan"/>
        </w:rPr>
        <w:t xml:space="preserve">. b) </w:t>
      </w:r>
      <w:proofErr w:type="spellStart"/>
      <w:r w:rsidRPr="009A2DD5">
        <w:rPr>
          <w:rFonts w:ascii="Arial" w:hAnsi="Arial" w:cs="Arial"/>
          <w:i/>
          <w:iCs/>
          <w:highlight w:val="cyan"/>
        </w:rPr>
        <w:t>ZoR</w:t>
      </w:r>
      <w:proofErr w:type="spellEnd"/>
      <w:r w:rsidRPr="009A2DD5">
        <w:rPr>
          <w:rFonts w:ascii="Arial" w:hAnsi="Arial" w:cs="Arial"/>
          <w:i/>
          <w:iCs/>
          <w:highlight w:val="cyan"/>
        </w:rPr>
        <w:t>.</w:t>
      </w:r>
      <w:r>
        <w:rPr>
          <w:rFonts w:ascii="Arial" w:hAnsi="Arial" w:cs="Arial"/>
          <w:i/>
          <w:iCs/>
          <w:highlight w:val="cyan"/>
        </w:rPr>
        <w:t xml:space="preserve"> Je </w:t>
      </w:r>
      <w:proofErr w:type="spellStart"/>
      <w:r>
        <w:rPr>
          <w:rFonts w:ascii="Arial" w:hAnsi="Arial" w:cs="Arial"/>
          <w:i/>
          <w:iCs/>
          <w:highlight w:val="cyan"/>
        </w:rPr>
        <w:t>tomu</w:t>
      </w:r>
      <w:proofErr w:type="spellEnd"/>
      <w:r>
        <w:rPr>
          <w:rFonts w:ascii="Arial" w:hAnsi="Arial" w:cs="Arial"/>
          <w:i/>
          <w:iCs/>
          <w:highlight w:val="cyan"/>
        </w:rPr>
        <w:t xml:space="preserve"> </w:t>
      </w:r>
      <w:proofErr w:type="spellStart"/>
      <w:r>
        <w:rPr>
          <w:rFonts w:ascii="Arial" w:hAnsi="Arial" w:cs="Arial"/>
          <w:i/>
          <w:iCs/>
          <w:highlight w:val="cyan"/>
        </w:rPr>
        <w:t>tak</w:t>
      </w:r>
      <w:proofErr w:type="spellEnd"/>
      <w:r>
        <w:rPr>
          <w:rFonts w:ascii="Arial" w:hAnsi="Arial" w:cs="Arial"/>
          <w:i/>
          <w:iCs/>
          <w:highlight w:val="cyan"/>
        </w:rPr>
        <w:t xml:space="preserve"> proto, </w:t>
      </w:r>
      <w:proofErr w:type="spellStart"/>
      <w:r>
        <w:rPr>
          <w:rFonts w:ascii="Arial" w:hAnsi="Arial" w:cs="Arial"/>
          <w:i/>
          <w:iCs/>
          <w:highlight w:val="cyan"/>
        </w:rPr>
        <w:t>že</w:t>
      </w:r>
      <w:proofErr w:type="spellEnd"/>
      <w:r>
        <w:rPr>
          <w:rFonts w:ascii="Arial" w:hAnsi="Arial" w:cs="Arial"/>
          <w:i/>
          <w:iCs/>
          <w:highlight w:val="cyan"/>
        </w:rPr>
        <w:t xml:space="preserve"> </w:t>
      </w:r>
      <w:proofErr w:type="spellStart"/>
      <w:r>
        <w:rPr>
          <w:rFonts w:ascii="Arial" w:hAnsi="Arial" w:cs="Arial"/>
          <w:i/>
          <w:iCs/>
          <w:highlight w:val="cyan"/>
        </w:rPr>
        <w:t>základním</w:t>
      </w:r>
      <w:proofErr w:type="spellEnd"/>
      <w:r>
        <w:rPr>
          <w:rFonts w:ascii="Arial" w:hAnsi="Arial" w:cs="Arial"/>
          <w:i/>
          <w:iCs/>
          <w:highlight w:val="cyan"/>
        </w:rPr>
        <w:t xml:space="preserve"> </w:t>
      </w:r>
      <w:proofErr w:type="spellStart"/>
      <w:r>
        <w:rPr>
          <w:rFonts w:ascii="Arial" w:hAnsi="Arial" w:cs="Arial"/>
          <w:i/>
          <w:iCs/>
          <w:highlight w:val="cyan"/>
        </w:rPr>
        <w:t>cílem</w:t>
      </w:r>
      <w:proofErr w:type="spellEnd"/>
      <w:r>
        <w:rPr>
          <w:rFonts w:ascii="Arial" w:hAnsi="Arial" w:cs="Arial"/>
          <w:i/>
          <w:iCs/>
          <w:highlight w:val="cyan"/>
        </w:rPr>
        <w:t xml:space="preserve"> </w:t>
      </w:r>
      <w:proofErr w:type="spellStart"/>
      <w:r>
        <w:rPr>
          <w:rFonts w:ascii="Arial" w:hAnsi="Arial" w:cs="Arial"/>
          <w:i/>
          <w:iCs/>
          <w:highlight w:val="cyan"/>
        </w:rPr>
        <w:t>ustanovení</w:t>
      </w:r>
      <w:proofErr w:type="spellEnd"/>
      <w:r>
        <w:rPr>
          <w:rFonts w:ascii="Arial" w:hAnsi="Arial" w:cs="Arial"/>
          <w:i/>
          <w:iCs/>
          <w:highlight w:val="cyan"/>
        </w:rPr>
        <w:t xml:space="preserve"> § 5a </w:t>
      </w:r>
      <w:proofErr w:type="spellStart"/>
      <w:r>
        <w:rPr>
          <w:rFonts w:ascii="Arial" w:hAnsi="Arial" w:cs="Arial"/>
          <w:i/>
          <w:iCs/>
          <w:highlight w:val="cyan"/>
        </w:rPr>
        <w:t>ZoR</w:t>
      </w:r>
      <w:proofErr w:type="spellEnd"/>
      <w:r>
        <w:rPr>
          <w:rFonts w:ascii="Arial" w:hAnsi="Arial" w:cs="Arial"/>
          <w:i/>
          <w:iCs/>
          <w:highlight w:val="cyan"/>
        </w:rPr>
        <w:t xml:space="preserve"> </w:t>
      </w:r>
      <w:proofErr w:type="spellStart"/>
      <w:r>
        <w:rPr>
          <w:rFonts w:ascii="Arial" w:hAnsi="Arial" w:cs="Arial"/>
          <w:i/>
          <w:iCs/>
          <w:highlight w:val="cyan"/>
        </w:rPr>
        <w:t>bylo</w:t>
      </w:r>
      <w:proofErr w:type="spellEnd"/>
      <w:r>
        <w:rPr>
          <w:rFonts w:ascii="Arial" w:hAnsi="Arial" w:cs="Arial"/>
          <w:i/>
          <w:iCs/>
          <w:highlight w:val="cyan"/>
        </w:rPr>
        <w:t xml:space="preserve"> </w:t>
      </w:r>
      <w:proofErr w:type="spellStart"/>
      <w:r w:rsidRPr="009A2DD5">
        <w:rPr>
          <w:rFonts w:ascii="Arial" w:hAnsi="Arial" w:cs="Arial"/>
          <w:i/>
          <w:iCs/>
          <w:highlight w:val="cyan"/>
        </w:rPr>
        <w:t>zrovnoprávnění</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podmínek</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na</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trhu</w:t>
      </w:r>
      <w:proofErr w:type="spellEnd"/>
      <w:r w:rsidRPr="009A2DD5">
        <w:rPr>
          <w:rFonts w:ascii="Arial" w:hAnsi="Arial" w:cs="Arial"/>
          <w:i/>
          <w:iCs/>
          <w:highlight w:val="cyan"/>
        </w:rPr>
        <w:t xml:space="preserve"> u </w:t>
      </w:r>
      <w:proofErr w:type="spellStart"/>
      <w:r w:rsidRPr="009A2DD5">
        <w:rPr>
          <w:rFonts w:ascii="Arial" w:hAnsi="Arial" w:cs="Arial"/>
          <w:i/>
          <w:iCs/>
          <w:highlight w:val="cyan"/>
        </w:rPr>
        <w:t>subjektů</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poskytujících</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úvěry</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jako</w:t>
      </w:r>
      <w:proofErr w:type="spellEnd"/>
      <w:r w:rsidRPr="009A2DD5">
        <w:rPr>
          <w:rFonts w:ascii="Arial" w:hAnsi="Arial" w:cs="Arial"/>
          <w:i/>
          <w:iCs/>
          <w:highlight w:val="cyan"/>
        </w:rPr>
        <w:t xml:space="preserve"> </w:t>
      </w:r>
      <w:proofErr w:type="spellStart"/>
      <w:r>
        <w:rPr>
          <w:rFonts w:ascii="Arial" w:hAnsi="Arial" w:cs="Arial"/>
          <w:i/>
          <w:iCs/>
          <w:highlight w:val="cyan"/>
        </w:rPr>
        <w:t>převažující</w:t>
      </w:r>
      <w:proofErr w:type="spellEnd"/>
      <w:r>
        <w:rPr>
          <w:rFonts w:ascii="Arial" w:hAnsi="Arial" w:cs="Arial"/>
          <w:i/>
          <w:iCs/>
          <w:highlight w:val="cyan"/>
        </w:rPr>
        <w:t xml:space="preserve"> </w:t>
      </w:r>
      <w:proofErr w:type="spellStart"/>
      <w:r w:rsidRPr="009A2DD5">
        <w:rPr>
          <w:rFonts w:ascii="Arial" w:hAnsi="Arial" w:cs="Arial"/>
          <w:i/>
          <w:iCs/>
          <w:highlight w:val="cyan"/>
        </w:rPr>
        <w:t>předmět</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svého</w:t>
      </w:r>
      <w:proofErr w:type="spellEnd"/>
      <w:r w:rsidRPr="009A2DD5">
        <w:rPr>
          <w:rFonts w:ascii="Arial" w:hAnsi="Arial" w:cs="Arial"/>
          <w:i/>
          <w:iCs/>
          <w:highlight w:val="cyan"/>
        </w:rPr>
        <w:t xml:space="preserve"> </w:t>
      </w:r>
      <w:proofErr w:type="spellStart"/>
      <w:r w:rsidRPr="009A2DD5">
        <w:rPr>
          <w:rFonts w:ascii="Arial" w:hAnsi="Arial" w:cs="Arial"/>
          <w:i/>
          <w:iCs/>
          <w:highlight w:val="cyan"/>
        </w:rPr>
        <w:t>podnikání</w:t>
      </w:r>
      <w:proofErr w:type="spellEnd"/>
      <w:r>
        <w:rPr>
          <w:rFonts w:ascii="Arial" w:hAnsi="Arial" w:cs="Arial"/>
          <w:i/>
          <w:iCs/>
          <w:highlight w:val="cyan"/>
        </w:rPr>
        <w:t xml:space="preserve">, </w:t>
      </w:r>
      <w:proofErr w:type="spellStart"/>
      <w:r>
        <w:rPr>
          <w:rFonts w:ascii="Arial" w:hAnsi="Arial" w:cs="Arial"/>
          <w:i/>
          <w:iCs/>
          <w:highlight w:val="cyan"/>
        </w:rPr>
        <w:t>kdy</w:t>
      </w:r>
      <w:proofErr w:type="spellEnd"/>
      <w:r>
        <w:rPr>
          <w:rFonts w:ascii="Arial" w:hAnsi="Arial" w:cs="Arial"/>
          <w:i/>
          <w:iCs/>
          <w:highlight w:val="cyan"/>
        </w:rPr>
        <w:t xml:space="preserve"> </w:t>
      </w:r>
      <w:proofErr w:type="spellStart"/>
      <w:r>
        <w:rPr>
          <w:rFonts w:ascii="Arial" w:hAnsi="Arial" w:cs="Arial"/>
          <w:i/>
          <w:iCs/>
          <w:highlight w:val="cyan"/>
        </w:rPr>
        <w:t>právě</w:t>
      </w:r>
      <w:proofErr w:type="spellEnd"/>
      <w:r>
        <w:rPr>
          <w:rFonts w:ascii="Arial" w:hAnsi="Arial" w:cs="Arial"/>
          <w:i/>
          <w:iCs/>
          <w:highlight w:val="cyan"/>
        </w:rPr>
        <w:t xml:space="preserve"> </w:t>
      </w:r>
      <w:proofErr w:type="spellStart"/>
      <w:r>
        <w:rPr>
          <w:rFonts w:ascii="Arial" w:hAnsi="Arial" w:cs="Arial"/>
          <w:i/>
          <w:iCs/>
          <w:highlight w:val="cyan"/>
        </w:rPr>
        <w:t>kritérium</w:t>
      </w:r>
      <w:proofErr w:type="spellEnd"/>
      <w:r>
        <w:rPr>
          <w:rFonts w:ascii="Arial" w:hAnsi="Arial" w:cs="Arial"/>
          <w:i/>
          <w:iCs/>
          <w:highlight w:val="cyan"/>
        </w:rPr>
        <w:t xml:space="preserve"> </w:t>
      </w:r>
      <w:proofErr w:type="spellStart"/>
      <w:r>
        <w:rPr>
          <w:rFonts w:ascii="Arial" w:hAnsi="Arial" w:cs="Arial"/>
          <w:i/>
          <w:iCs/>
          <w:highlight w:val="cyan"/>
        </w:rPr>
        <w:t>převažujících</w:t>
      </w:r>
      <w:proofErr w:type="spellEnd"/>
      <w:r>
        <w:rPr>
          <w:rFonts w:ascii="Arial" w:hAnsi="Arial" w:cs="Arial"/>
          <w:i/>
          <w:iCs/>
          <w:highlight w:val="cyan"/>
        </w:rPr>
        <w:t xml:space="preserve"> </w:t>
      </w:r>
      <w:proofErr w:type="spellStart"/>
      <w:r>
        <w:rPr>
          <w:rFonts w:ascii="Arial" w:hAnsi="Arial" w:cs="Arial"/>
          <w:i/>
          <w:iCs/>
          <w:highlight w:val="cyan"/>
        </w:rPr>
        <w:t>výnosů</w:t>
      </w:r>
      <w:proofErr w:type="spellEnd"/>
      <w:r>
        <w:rPr>
          <w:rFonts w:ascii="Arial" w:hAnsi="Arial" w:cs="Arial"/>
          <w:i/>
          <w:iCs/>
          <w:highlight w:val="cyan"/>
        </w:rPr>
        <w:t xml:space="preserve"> z </w:t>
      </w:r>
      <w:proofErr w:type="spellStart"/>
      <w:r>
        <w:rPr>
          <w:rFonts w:ascii="Arial" w:hAnsi="Arial" w:cs="Arial"/>
          <w:i/>
          <w:iCs/>
          <w:highlight w:val="cyan"/>
        </w:rPr>
        <w:t>poskytnutých</w:t>
      </w:r>
      <w:proofErr w:type="spellEnd"/>
      <w:r>
        <w:rPr>
          <w:rFonts w:ascii="Arial" w:hAnsi="Arial" w:cs="Arial"/>
          <w:i/>
          <w:iCs/>
          <w:highlight w:val="cyan"/>
        </w:rPr>
        <w:t xml:space="preserve"> </w:t>
      </w:r>
      <w:proofErr w:type="spellStart"/>
      <w:r>
        <w:rPr>
          <w:rFonts w:ascii="Arial" w:hAnsi="Arial" w:cs="Arial"/>
          <w:i/>
          <w:iCs/>
          <w:highlight w:val="cyan"/>
        </w:rPr>
        <w:t>úvěrů</w:t>
      </w:r>
      <w:proofErr w:type="spellEnd"/>
      <w:r>
        <w:rPr>
          <w:rFonts w:ascii="Arial" w:hAnsi="Arial" w:cs="Arial"/>
          <w:i/>
          <w:iCs/>
          <w:highlight w:val="cyan"/>
        </w:rPr>
        <w:t xml:space="preserve"> </w:t>
      </w:r>
      <w:proofErr w:type="spellStart"/>
      <w:r>
        <w:rPr>
          <w:rFonts w:ascii="Arial" w:hAnsi="Arial" w:cs="Arial"/>
          <w:i/>
          <w:iCs/>
          <w:highlight w:val="cyan"/>
        </w:rPr>
        <w:t>potvrzuje</w:t>
      </w:r>
      <w:proofErr w:type="spellEnd"/>
      <w:r>
        <w:rPr>
          <w:rFonts w:ascii="Arial" w:hAnsi="Arial" w:cs="Arial"/>
          <w:i/>
          <w:iCs/>
          <w:highlight w:val="cyan"/>
        </w:rPr>
        <w:t xml:space="preserve"> </w:t>
      </w:r>
      <w:proofErr w:type="spellStart"/>
      <w:r>
        <w:rPr>
          <w:rFonts w:ascii="Arial" w:hAnsi="Arial" w:cs="Arial"/>
          <w:i/>
          <w:iCs/>
          <w:highlight w:val="cyan"/>
        </w:rPr>
        <w:t>vymezení</w:t>
      </w:r>
      <w:proofErr w:type="spellEnd"/>
      <w:r>
        <w:rPr>
          <w:rFonts w:ascii="Arial" w:hAnsi="Arial" w:cs="Arial"/>
          <w:i/>
          <w:iCs/>
          <w:highlight w:val="cyan"/>
        </w:rPr>
        <w:t xml:space="preserve"> </w:t>
      </w:r>
      <w:proofErr w:type="spellStart"/>
      <w:r>
        <w:rPr>
          <w:rFonts w:ascii="Arial" w:hAnsi="Arial" w:cs="Arial"/>
          <w:i/>
          <w:iCs/>
          <w:highlight w:val="cyan"/>
        </w:rPr>
        <w:t>těchto</w:t>
      </w:r>
      <w:proofErr w:type="spellEnd"/>
      <w:r>
        <w:rPr>
          <w:rFonts w:ascii="Arial" w:hAnsi="Arial" w:cs="Arial"/>
          <w:i/>
          <w:iCs/>
          <w:highlight w:val="cyan"/>
        </w:rPr>
        <w:t xml:space="preserve"> </w:t>
      </w:r>
      <w:proofErr w:type="spellStart"/>
      <w:r>
        <w:rPr>
          <w:rFonts w:ascii="Arial" w:hAnsi="Arial" w:cs="Arial"/>
          <w:i/>
          <w:iCs/>
          <w:highlight w:val="cyan"/>
        </w:rPr>
        <w:t>subjektů</w:t>
      </w:r>
      <w:proofErr w:type="spellEnd"/>
      <w:r>
        <w:rPr>
          <w:rFonts w:ascii="Arial" w:hAnsi="Arial" w:cs="Arial"/>
          <w:i/>
          <w:iCs/>
          <w:highlight w:val="cyan"/>
        </w:rPr>
        <w:t xml:space="preserve"> </w:t>
      </w:r>
      <w:proofErr w:type="spellStart"/>
      <w:r>
        <w:rPr>
          <w:rFonts w:ascii="Arial" w:hAnsi="Arial" w:cs="Arial"/>
          <w:i/>
          <w:iCs/>
          <w:highlight w:val="cyan"/>
        </w:rPr>
        <w:t>tím</w:t>
      </w:r>
      <w:proofErr w:type="spellEnd"/>
      <w:r>
        <w:rPr>
          <w:rFonts w:ascii="Arial" w:hAnsi="Arial" w:cs="Arial"/>
          <w:i/>
          <w:iCs/>
          <w:highlight w:val="cyan"/>
        </w:rPr>
        <w:t xml:space="preserve">, </w:t>
      </w:r>
      <w:proofErr w:type="spellStart"/>
      <w:r>
        <w:rPr>
          <w:rFonts w:ascii="Arial" w:hAnsi="Arial" w:cs="Arial"/>
          <w:i/>
          <w:iCs/>
          <w:highlight w:val="cyan"/>
        </w:rPr>
        <w:t>že</w:t>
      </w:r>
      <w:proofErr w:type="spellEnd"/>
      <w:r>
        <w:rPr>
          <w:rFonts w:ascii="Arial" w:hAnsi="Arial" w:cs="Arial"/>
          <w:i/>
          <w:iCs/>
          <w:highlight w:val="cyan"/>
        </w:rPr>
        <w:t xml:space="preserve"> </w:t>
      </w:r>
      <w:proofErr w:type="spellStart"/>
      <w:r>
        <w:rPr>
          <w:rFonts w:ascii="Arial" w:hAnsi="Arial" w:cs="Arial"/>
          <w:i/>
          <w:iCs/>
          <w:highlight w:val="cyan"/>
        </w:rPr>
        <w:t>zohledňuje</w:t>
      </w:r>
      <w:proofErr w:type="spellEnd"/>
      <w:r>
        <w:rPr>
          <w:rFonts w:ascii="Arial" w:hAnsi="Arial" w:cs="Arial"/>
          <w:i/>
          <w:iCs/>
          <w:highlight w:val="cyan"/>
        </w:rPr>
        <w:t xml:space="preserve"> </w:t>
      </w:r>
      <w:proofErr w:type="spellStart"/>
      <w:r>
        <w:rPr>
          <w:rFonts w:ascii="Arial" w:hAnsi="Arial" w:cs="Arial"/>
          <w:i/>
          <w:iCs/>
          <w:highlight w:val="cyan"/>
        </w:rPr>
        <w:t>pouze</w:t>
      </w:r>
      <w:proofErr w:type="spellEnd"/>
      <w:r>
        <w:rPr>
          <w:rFonts w:ascii="Arial" w:hAnsi="Arial" w:cs="Arial"/>
          <w:i/>
          <w:iCs/>
          <w:highlight w:val="cyan"/>
        </w:rPr>
        <w:t xml:space="preserve"> </w:t>
      </w:r>
      <w:proofErr w:type="spellStart"/>
      <w:r>
        <w:rPr>
          <w:rFonts w:ascii="Arial" w:hAnsi="Arial" w:cs="Arial"/>
          <w:i/>
          <w:iCs/>
          <w:highlight w:val="cyan"/>
        </w:rPr>
        <w:t>výnosy</w:t>
      </w:r>
      <w:proofErr w:type="spellEnd"/>
      <w:r>
        <w:rPr>
          <w:rFonts w:ascii="Arial" w:hAnsi="Arial" w:cs="Arial"/>
          <w:i/>
          <w:iCs/>
          <w:highlight w:val="cyan"/>
        </w:rPr>
        <w:t xml:space="preserve"> z </w:t>
      </w:r>
      <w:proofErr w:type="spellStart"/>
      <w:r>
        <w:rPr>
          <w:rFonts w:ascii="Arial" w:hAnsi="Arial" w:cs="Arial"/>
          <w:i/>
          <w:iCs/>
          <w:highlight w:val="cyan"/>
        </w:rPr>
        <w:t>poskytnutých</w:t>
      </w:r>
      <w:proofErr w:type="spellEnd"/>
      <w:r>
        <w:rPr>
          <w:rFonts w:ascii="Arial" w:hAnsi="Arial" w:cs="Arial"/>
          <w:i/>
          <w:iCs/>
          <w:highlight w:val="cyan"/>
        </w:rPr>
        <w:t xml:space="preserve"> </w:t>
      </w:r>
      <w:proofErr w:type="spellStart"/>
      <w:r>
        <w:rPr>
          <w:rFonts w:ascii="Arial" w:hAnsi="Arial" w:cs="Arial"/>
          <w:i/>
          <w:iCs/>
          <w:highlight w:val="cyan"/>
        </w:rPr>
        <w:t>úvěrů</w:t>
      </w:r>
      <w:proofErr w:type="spellEnd"/>
      <w:r>
        <w:rPr>
          <w:rFonts w:ascii="Arial" w:hAnsi="Arial" w:cs="Arial"/>
          <w:i/>
          <w:iCs/>
          <w:highlight w:val="cyan"/>
        </w:rPr>
        <w:t xml:space="preserve"> a </w:t>
      </w:r>
      <w:proofErr w:type="spellStart"/>
      <w:r>
        <w:rPr>
          <w:rFonts w:ascii="Arial" w:hAnsi="Arial" w:cs="Arial"/>
          <w:i/>
          <w:iCs/>
          <w:highlight w:val="cyan"/>
        </w:rPr>
        <w:t>nikoliv</w:t>
      </w:r>
      <w:proofErr w:type="spellEnd"/>
      <w:r>
        <w:rPr>
          <w:rFonts w:ascii="Arial" w:hAnsi="Arial" w:cs="Arial"/>
          <w:i/>
          <w:iCs/>
          <w:highlight w:val="cyan"/>
        </w:rPr>
        <w:t xml:space="preserve"> </w:t>
      </w:r>
      <w:proofErr w:type="spellStart"/>
      <w:r>
        <w:rPr>
          <w:rFonts w:ascii="Arial" w:hAnsi="Arial" w:cs="Arial"/>
          <w:i/>
          <w:iCs/>
          <w:highlight w:val="cyan"/>
        </w:rPr>
        <w:t>výnosy</w:t>
      </w:r>
      <w:proofErr w:type="spellEnd"/>
      <w:r>
        <w:rPr>
          <w:rFonts w:ascii="Arial" w:hAnsi="Arial" w:cs="Arial"/>
          <w:i/>
          <w:iCs/>
          <w:highlight w:val="cyan"/>
        </w:rPr>
        <w:t xml:space="preserve"> z </w:t>
      </w:r>
      <w:proofErr w:type="spellStart"/>
      <w:r>
        <w:rPr>
          <w:rFonts w:ascii="Arial" w:hAnsi="Arial" w:cs="Arial"/>
          <w:i/>
          <w:iCs/>
          <w:highlight w:val="cyan"/>
        </w:rPr>
        <w:t>dalších</w:t>
      </w:r>
      <w:proofErr w:type="spellEnd"/>
      <w:r>
        <w:rPr>
          <w:rFonts w:ascii="Arial" w:hAnsi="Arial" w:cs="Arial"/>
          <w:i/>
          <w:iCs/>
          <w:highlight w:val="cyan"/>
        </w:rPr>
        <w:t xml:space="preserve"> </w:t>
      </w:r>
      <w:proofErr w:type="spellStart"/>
      <w:r>
        <w:rPr>
          <w:rFonts w:ascii="Arial" w:hAnsi="Arial" w:cs="Arial"/>
          <w:i/>
          <w:iCs/>
          <w:highlight w:val="cyan"/>
        </w:rPr>
        <w:t>podnikatelských</w:t>
      </w:r>
      <w:proofErr w:type="spellEnd"/>
      <w:r>
        <w:rPr>
          <w:rFonts w:ascii="Arial" w:hAnsi="Arial" w:cs="Arial"/>
          <w:i/>
          <w:iCs/>
          <w:highlight w:val="cyan"/>
        </w:rPr>
        <w:t xml:space="preserve"> </w:t>
      </w:r>
      <w:proofErr w:type="spellStart"/>
      <w:r>
        <w:rPr>
          <w:rFonts w:ascii="Arial" w:hAnsi="Arial" w:cs="Arial"/>
          <w:i/>
          <w:iCs/>
          <w:highlight w:val="cyan"/>
        </w:rPr>
        <w:t>aktivit</w:t>
      </w:r>
      <w:proofErr w:type="spellEnd"/>
      <w:r>
        <w:rPr>
          <w:rFonts w:ascii="Arial" w:hAnsi="Arial" w:cs="Arial"/>
          <w:i/>
          <w:iCs/>
          <w:highlight w:val="cyan"/>
        </w:rPr>
        <w:t xml:space="preserve">. </w:t>
      </w:r>
    </w:p>
    <w:bookmarkEnd w:id="0"/>
    <w:p w14:paraId="2026066A" w14:textId="77777777" w:rsidR="005E4E00" w:rsidRDefault="005E4E00" w:rsidP="005E4E00">
      <w:pPr>
        <w:jc w:val="both"/>
        <w:rPr>
          <w:rFonts w:ascii="Arial" w:hAnsi="Arial" w:cs="Arial"/>
          <w:i/>
          <w:iCs/>
          <w:highlight w:val="cyan"/>
        </w:rPr>
      </w:pPr>
    </w:p>
    <w:p w14:paraId="385B4134" w14:textId="77777777" w:rsidR="00922624" w:rsidRDefault="00922624">
      <w:pPr>
        <w:rPr>
          <w:rFonts w:ascii="Arial" w:hAnsi="Arial" w:cs="Arial"/>
          <w:b/>
          <w:color w:val="000000"/>
          <w:shd w:val="clear" w:color="auto" w:fill="FFFFFF"/>
          <w:lang w:val="cs-CZ"/>
        </w:rPr>
      </w:pPr>
      <w:r>
        <w:rPr>
          <w:rFonts w:ascii="Arial" w:hAnsi="Arial" w:cs="Arial"/>
          <w:b/>
          <w:color w:val="000000"/>
          <w:shd w:val="clear" w:color="auto" w:fill="FFFFFF"/>
          <w:lang w:val="cs-CZ"/>
        </w:rPr>
        <w:br w:type="page"/>
      </w:r>
    </w:p>
    <w:p w14:paraId="6127D395" w14:textId="77777777" w:rsidR="00CD6AF3" w:rsidRPr="006F298B" w:rsidRDefault="00CD6AF3" w:rsidP="00CD6AF3">
      <w:pPr>
        <w:jc w:val="cente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lastRenderedPageBreak/>
        <w:t xml:space="preserve">PŘÍSPĚVEK UZAVŘEN </w:t>
      </w:r>
      <w:r>
        <w:rPr>
          <w:rFonts w:ascii="Arial" w:hAnsi="Arial" w:cs="Arial"/>
          <w:b/>
          <w:sz w:val="32"/>
          <w:szCs w:val="32"/>
          <w:highlight w:val="yellow"/>
          <w:u w:val="single"/>
          <w:lang w:val="cs-CZ" w:eastAsia="cs-CZ"/>
        </w:rPr>
        <w:t>BEZ</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U</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28</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11</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4FECE7D9" w14:textId="77777777" w:rsidR="00CD6AF3" w:rsidRDefault="00CD6AF3" w:rsidP="00CD6AF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651D443C" w14:textId="77777777" w:rsidR="00CD6AF3" w:rsidRDefault="00CD6AF3" w:rsidP="00922624">
      <w:pPr>
        <w:autoSpaceDE w:val="0"/>
        <w:autoSpaceDN w:val="0"/>
        <w:adjustRightInd w:val="0"/>
        <w:jc w:val="both"/>
        <w:rPr>
          <w:rFonts w:ascii="Arial" w:hAnsi="Arial" w:cs="Arial"/>
          <w:b/>
          <w:color w:val="000000"/>
          <w:shd w:val="clear" w:color="auto" w:fill="FFFFFF"/>
          <w:lang w:val="cs-CZ"/>
        </w:rPr>
      </w:pPr>
    </w:p>
    <w:p w14:paraId="1FE1281B" w14:textId="110AC466" w:rsidR="00922624" w:rsidRPr="00020CB9" w:rsidRDefault="00922624" w:rsidP="00922624">
      <w:pPr>
        <w:autoSpaceDE w:val="0"/>
        <w:autoSpaceDN w:val="0"/>
        <w:adjustRightInd w:val="0"/>
        <w:jc w:val="both"/>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616/28.11.23 </w:t>
      </w:r>
      <w:r w:rsidRPr="00020CB9">
        <w:rPr>
          <w:rFonts w:ascii="Arial" w:hAnsi="Arial" w:cs="Arial"/>
          <w:b/>
          <w:color w:val="000000"/>
          <w:shd w:val="clear" w:color="auto" w:fill="FFFFFF"/>
          <w:lang w:val="cs-CZ"/>
        </w:rPr>
        <w:t xml:space="preserve">Nahrazení </w:t>
      </w:r>
      <w:r>
        <w:rPr>
          <w:rFonts w:ascii="Arial" w:hAnsi="Arial" w:cs="Arial"/>
          <w:b/>
          <w:color w:val="000000"/>
          <w:shd w:val="clear" w:color="auto" w:fill="FFFFFF"/>
          <w:lang w:val="cs-CZ"/>
        </w:rPr>
        <w:t>P</w:t>
      </w:r>
      <w:r w:rsidRPr="00020CB9">
        <w:rPr>
          <w:rFonts w:ascii="Arial" w:hAnsi="Arial" w:cs="Arial"/>
          <w:b/>
          <w:color w:val="000000"/>
          <w:shd w:val="clear" w:color="auto" w:fill="FFFFFF"/>
          <w:lang w:val="cs-CZ"/>
        </w:rPr>
        <w:t xml:space="preserve">okynu </w:t>
      </w:r>
      <w:r>
        <w:rPr>
          <w:rFonts w:ascii="Arial" w:hAnsi="Arial" w:cs="Arial"/>
          <w:b/>
          <w:color w:val="000000"/>
          <w:shd w:val="clear" w:color="auto" w:fill="FFFFFF"/>
          <w:lang w:val="cs-CZ"/>
        </w:rPr>
        <w:t xml:space="preserve">GFŘ </w:t>
      </w:r>
      <w:r w:rsidRPr="00020CB9">
        <w:rPr>
          <w:rFonts w:ascii="Arial" w:hAnsi="Arial" w:cs="Arial"/>
          <w:b/>
          <w:color w:val="000000"/>
          <w:shd w:val="clear" w:color="auto" w:fill="FFFFFF"/>
          <w:lang w:val="cs-CZ"/>
        </w:rPr>
        <w:t xml:space="preserve">D-22 </w:t>
      </w:r>
      <w:r>
        <w:rPr>
          <w:rFonts w:ascii="Arial" w:hAnsi="Arial" w:cs="Arial"/>
          <w:b/>
          <w:color w:val="000000"/>
          <w:shd w:val="clear" w:color="auto" w:fill="FFFFFF"/>
          <w:lang w:val="cs-CZ"/>
        </w:rPr>
        <w:t>P</w:t>
      </w:r>
      <w:r w:rsidRPr="00020CB9">
        <w:rPr>
          <w:rFonts w:ascii="Arial" w:hAnsi="Arial" w:cs="Arial"/>
          <w:b/>
          <w:color w:val="000000"/>
          <w:shd w:val="clear" w:color="auto" w:fill="FFFFFF"/>
          <w:lang w:val="cs-CZ"/>
        </w:rPr>
        <w:t>okynem</w:t>
      </w:r>
      <w:r>
        <w:rPr>
          <w:rFonts w:ascii="Arial" w:hAnsi="Arial" w:cs="Arial"/>
          <w:b/>
          <w:color w:val="000000"/>
          <w:shd w:val="clear" w:color="auto" w:fill="FFFFFF"/>
          <w:lang w:val="cs-CZ"/>
        </w:rPr>
        <w:t xml:space="preserve"> GFŘ</w:t>
      </w:r>
      <w:r w:rsidRPr="00020CB9">
        <w:rPr>
          <w:rFonts w:ascii="Arial" w:hAnsi="Arial" w:cs="Arial"/>
          <w:b/>
          <w:color w:val="000000"/>
          <w:shd w:val="clear" w:color="auto" w:fill="FFFFFF"/>
          <w:lang w:val="cs-CZ"/>
        </w:rPr>
        <w:t xml:space="preserve"> D-59 s úpravou textu k § 6 odst. 7 písm. c) a e) ZDP – vyloučení plnění ve formě </w:t>
      </w:r>
      <w:r w:rsidRPr="00020CB9">
        <w:rPr>
          <w:rFonts w:ascii="Arial" w:eastAsia="NoticiaText-Regular" w:hAnsi="Arial" w:cs="Arial"/>
          <w:b/>
          <w:lang w:val="cs-CZ"/>
          <w14:ligatures w14:val="standardContextual"/>
        </w:rPr>
        <w:t>vydání paměťové karty řidiče (umožňující obsluhu</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digitálního tachografu), kterou musí být řidič vybaven podle</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zákona č. 361/2000 Sb., o provozu na pozemních komunikacích</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a změnách některých zákonů (zákon o silničním provozu), ve</w:t>
      </w:r>
      <w:r>
        <w:rPr>
          <w:rFonts w:ascii="Arial" w:eastAsia="NoticiaText-Regular" w:hAnsi="Arial" w:cs="Arial"/>
          <w:b/>
          <w:lang w:val="cs-CZ"/>
          <w14:ligatures w14:val="standardContextual"/>
        </w:rPr>
        <w:t xml:space="preserve"> </w:t>
      </w:r>
      <w:r w:rsidRPr="00020CB9">
        <w:rPr>
          <w:rFonts w:ascii="Arial" w:eastAsia="NoticiaText-Regular" w:hAnsi="Arial" w:cs="Arial"/>
          <w:b/>
          <w:lang w:val="cs-CZ"/>
          <w14:ligatures w14:val="standardContextual"/>
        </w:rPr>
        <w:t>znění pozdějších předpisů</w:t>
      </w:r>
      <w:r w:rsidRPr="00020CB9">
        <w:rPr>
          <w:rFonts w:ascii="Arial" w:hAnsi="Arial" w:cs="Arial"/>
          <w:b/>
          <w:color w:val="000000"/>
          <w:shd w:val="clear" w:color="auto" w:fill="FFFFFF"/>
          <w:lang w:val="cs-CZ"/>
        </w:rPr>
        <w:t xml:space="preserve"> z předmětu daně z příjmů fyzických osob ze závislé činnosti</w:t>
      </w:r>
    </w:p>
    <w:p w14:paraId="1BCC60D6" w14:textId="77777777" w:rsidR="00922624" w:rsidRDefault="00922624" w:rsidP="00922624">
      <w:pPr>
        <w:jc w:val="both"/>
        <w:rPr>
          <w:rFonts w:ascii="Arial" w:hAnsi="Arial" w:cs="Arial"/>
          <w:color w:val="000000"/>
          <w:shd w:val="clear" w:color="auto" w:fill="FFFFFF"/>
          <w:lang w:val="cs-CZ"/>
        </w:rPr>
      </w:pPr>
    </w:p>
    <w:p w14:paraId="0AABC118" w14:textId="77777777" w:rsidR="00922624" w:rsidRDefault="00C82E69" w:rsidP="00922624">
      <w:pPr>
        <w:jc w:val="both"/>
        <w:rPr>
          <w:rFonts w:ascii="Arial" w:hAnsi="Arial" w:cs="Arial"/>
          <w:color w:val="000000"/>
          <w:shd w:val="clear" w:color="auto" w:fill="FFFFFF"/>
          <w:lang w:val="cs-CZ"/>
        </w:rPr>
      </w:pPr>
      <w:r>
        <w:rPr>
          <w:rFonts w:ascii="Arial" w:hAnsi="Arial" w:cs="Arial"/>
          <w:color w:val="000000"/>
          <w:shd w:val="clear" w:color="auto" w:fill="FFFFFF"/>
          <w:lang w:val="cs-CZ"/>
        </w:rPr>
        <w:t>Předkládají:</w:t>
      </w:r>
      <w:r>
        <w:rPr>
          <w:rFonts w:ascii="Arial" w:hAnsi="Arial" w:cs="Arial"/>
          <w:color w:val="000000"/>
          <w:shd w:val="clear" w:color="auto" w:fill="FFFFFF"/>
          <w:lang w:val="cs-CZ"/>
        </w:rPr>
        <w:tab/>
        <w:t>I</w:t>
      </w:r>
      <w:r w:rsidR="00922624">
        <w:rPr>
          <w:rFonts w:ascii="Arial" w:hAnsi="Arial" w:cs="Arial"/>
          <w:color w:val="000000"/>
          <w:shd w:val="clear" w:color="auto" w:fill="FFFFFF"/>
          <w:lang w:val="cs-CZ"/>
        </w:rPr>
        <w:t xml:space="preserve">ng. Radislav Tkáč, daňový poradce, č. </w:t>
      </w:r>
      <w:proofErr w:type="spellStart"/>
      <w:r w:rsidR="00922624">
        <w:rPr>
          <w:rFonts w:ascii="Arial" w:hAnsi="Arial" w:cs="Arial"/>
          <w:color w:val="000000"/>
          <w:shd w:val="clear" w:color="auto" w:fill="FFFFFF"/>
          <w:lang w:val="cs-CZ"/>
        </w:rPr>
        <w:t>osv</w:t>
      </w:r>
      <w:proofErr w:type="spellEnd"/>
      <w:r w:rsidR="00922624">
        <w:rPr>
          <w:rFonts w:ascii="Arial" w:hAnsi="Arial" w:cs="Arial"/>
          <w:color w:val="000000"/>
          <w:shd w:val="clear" w:color="auto" w:fill="FFFFFF"/>
          <w:lang w:val="cs-CZ"/>
        </w:rPr>
        <w:t>. 3680</w:t>
      </w:r>
    </w:p>
    <w:p w14:paraId="7A1B76E7" w14:textId="77777777" w:rsidR="00922624" w:rsidRDefault="00922624" w:rsidP="00922624">
      <w:pPr>
        <w:ind w:left="708" w:firstLine="708"/>
        <w:jc w:val="both"/>
        <w:rPr>
          <w:rFonts w:ascii="Arial" w:hAnsi="Arial" w:cs="Arial"/>
          <w:color w:val="000000"/>
          <w:shd w:val="clear" w:color="auto" w:fill="FFFFFF"/>
          <w:lang w:val="cs-CZ"/>
        </w:rPr>
      </w:pPr>
      <w:r>
        <w:rPr>
          <w:rFonts w:ascii="Arial" w:hAnsi="Arial" w:cs="Arial"/>
          <w:color w:val="000000"/>
          <w:shd w:val="clear" w:color="auto" w:fill="FFFFFF"/>
          <w:lang w:val="cs-CZ"/>
        </w:rPr>
        <w:t xml:space="preserve">Ing. Bc. Jiří Nesrovnal,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1757</w:t>
      </w:r>
    </w:p>
    <w:p w14:paraId="0AAD7D2C" w14:textId="77777777" w:rsidR="00922624" w:rsidRDefault="00922624" w:rsidP="008030AA">
      <w:pPr>
        <w:jc w:val="both"/>
        <w:rPr>
          <w:rFonts w:ascii="Arial" w:hAnsi="Arial" w:cs="Arial"/>
          <w:b/>
          <w:color w:val="000000"/>
          <w:shd w:val="clear" w:color="auto" w:fill="FFFFFF"/>
          <w:lang w:val="cs-CZ"/>
        </w:rPr>
      </w:pPr>
    </w:p>
    <w:p w14:paraId="3CA7C133" w14:textId="77777777" w:rsidR="00922624" w:rsidRPr="00922624" w:rsidRDefault="00922624" w:rsidP="00922624">
      <w:pPr>
        <w:jc w:val="both"/>
        <w:rPr>
          <w:rFonts w:ascii="Arial" w:hAnsi="Arial" w:cs="Arial"/>
          <w:u w:val="single"/>
          <w:lang w:val="cs-CZ"/>
        </w:rPr>
      </w:pPr>
      <w:r w:rsidRPr="00922624">
        <w:rPr>
          <w:rFonts w:ascii="Arial" w:hAnsi="Arial" w:cs="Arial"/>
          <w:u w:val="single"/>
          <w:lang w:val="cs-CZ"/>
        </w:rPr>
        <w:t>1. Úvod</w:t>
      </w:r>
    </w:p>
    <w:p w14:paraId="0AAB8E8F" w14:textId="77777777" w:rsidR="00922624" w:rsidRPr="00922624" w:rsidRDefault="00922624" w:rsidP="00922624">
      <w:pPr>
        <w:jc w:val="both"/>
        <w:rPr>
          <w:rFonts w:ascii="Arial" w:hAnsi="Arial" w:cs="Arial"/>
          <w:lang w:val="cs-CZ"/>
        </w:rPr>
      </w:pPr>
    </w:p>
    <w:p w14:paraId="7288ACEF" w14:textId="77777777" w:rsidR="00922624" w:rsidRPr="00922624" w:rsidRDefault="00922624" w:rsidP="00922624">
      <w:pPr>
        <w:jc w:val="both"/>
        <w:rPr>
          <w:rFonts w:ascii="Arial" w:hAnsi="Arial" w:cs="Arial"/>
          <w:bCs/>
          <w:lang w:val="cs-CZ"/>
        </w:rPr>
      </w:pPr>
      <w:r w:rsidRPr="00922624">
        <w:rPr>
          <w:rFonts w:ascii="Arial" w:hAnsi="Arial" w:cs="Arial"/>
          <w:lang w:val="cs-CZ"/>
        </w:rPr>
        <w:t xml:space="preserve">Při nahrazení Pokynu GFŘ </w:t>
      </w:r>
      <w:proofErr w:type="gramStart"/>
      <w:r w:rsidRPr="00922624">
        <w:rPr>
          <w:rFonts w:ascii="Arial" w:hAnsi="Arial" w:cs="Arial"/>
          <w:lang w:val="cs-CZ"/>
        </w:rPr>
        <w:t>D – 22</w:t>
      </w:r>
      <w:proofErr w:type="gramEnd"/>
      <w:r w:rsidRPr="00922624">
        <w:rPr>
          <w:rFonts w:ascii="Arial" w:hAnsi="Arial" w:cs="Arial"/>
          <w:lang w:val="cs-CZ"/>
        </w:rPr>
        <w:t xml:space="preserve"> Pokynem GFŘ D - 59 došlo </w:t>
      </w:r>
      <w:proofErr w:type="spellStart"/>
      <w:r w:rsidRPr="00922624">
        <w:rPr>
          <w:rFonts w:ascii="Arial" w:hAnsi="Arial" w:cs="Arial"/>
          <w:lang w:val="cs-CZ"/>
        </w:rPr>
        <w:t>m.j</w:t>
      </w:r>
      <w:proofErr w:type="spellEnd"/>
      <w:r w:rsidRPr="00922624">
        <w:rPr>
          <w:rFonts w:ascii="Arial" w:hAnsi="Arial" w:cs="Arial"/>
          <w:lang w:val="cs-CZ"/>
        </w:rPr>
        <w:t xml:space="preserve">. v komentáři k </w:t>
      </w:r>
      <w:r w:rsidRPr="00922624">
        <w:rPr>
          <w:rFonts w:ascii="Arial" w:hAnsi="Arial" w:cs="Arial"/>
          <w:bCs/>
          <w:color w:val="000000"/>
          <w:shd w:val="clear" w:color="auto" w:fill="FFFFFF"/>
          <w:lang w:val="cs-CZ"/>
        </w:rPr>
        <w:t xml:space="preserve">§ 6 odst. 7 písm. c) a e) ZDP k vypuštění textu tohoto znění – cit.: „za </w:t>
      </w:r>
      <w:r w:rsidRPr="00922624">
        <w:rPr>
          <w:rFonts w:ascii="Arial" w:eastAsia="NoticiaText-Regular" w:hAnsi="Arial" w:cs="Arial"/>
          <w:bCs/>
          <w:lang w:val="cs-CZ"/>
          <w14:ligatures w14:val="standardContextual"/>
        </w:rPr>
        <w:t>vydání paměťové karty řidiče (umožňující obsluhu digitálního tachografu), kterou musí být řidič vybaven podle zákona č. 361/2000 Sb., o provozu na pozemních komunikacích a změnách některých zákonů (zákon o silničním provozu), ve znění pozdějších předpisů“. V celkovém kontextu tedy došlo k vypuštění jednoho z vyjmenovaných plnění, které nejsou u fyzické osoby předmětem daně z příjmů fyzických osob ze závislé činnosti dle § 6 odst. 7 písm. c) a e) ZDP.</w:t>
      </w:r>
    </w:p>
    <w:p w14:paraId="005F3461" w14:textId="77777777" w:rsidR="00922624" w:rsidRPr="00922624" w:rsidRDefault="00922624" w:rsidP="00922624">
      <w:pPr>
        <w:jc w:val="both"/>
        <w:rPr>
          <w:rFonts w:ascii="Arial" w:hAnsi="Arial" w:cs="Arial"/>
          <w:lang w:val="cs-CZ"/>
        </w:rPr>
      </w:pPr>
    </w:p>
    <w:p w14:paraId="5F6921E9" w14:textId="77777777" w:rsidR="00922624" w:rsidRPr="00922624" w:rsidRDefault="00922624" w:rsidP="00922624">
      <w:pPr>
        <w:jc w:val="both"/>
        <w:rPr>
          <w:rFonts w:ascii="Arial" w:hAnsi="Arial" w:cs="Arial"/>
          <w:lang w:val="cs-CZ"/>
        </w:rPr>
      </w:pPr>
      <w:r w:rsidRPr="00922624">
        <w:rPr>
          <w:rFonts w:ascii="Arial" w:hAnsi="Arial" w:cs="Arial"/>
          <w:lang w:val="cs-CZ"/>
        </w:rPr>
        <w:t>Důvodem této změny a navazujícími dopady do zdanění fyzických osob se zabýváme v tomto příspěvku.</w:t>
      </w:r>
    </w:p>
    <w:p w14:paraId="5F46DC15" w14:textId="77777777" w:rsidR="00922624" w:rsidRPr="00922624" w:rsidRDefault="00922624" w:rsidP="00922624">
      <w:pPr>
        <w:jc w:val="both"/>
        <w:rPr>
          <w:rFonts w:ascii="Arial" w:hAnsi="Arial" w:cs="Arial"/>
          <w:lang w:val="cs-CZ"/>
        </w:rPr>
      </w:pPr>
    </w:p>
    <w:p w14:paraId="3C760432" w14:textId="77777777" w:rsidR="00922624" w:rsidRPr="00922624" w:rsidRDefault="00922624" w:rsidP="00922624">
      <w:pPr>
        <w:jc w:val="both"/>
        <w:rPr>
          <w:rFonts w:ascii="Arial" w:hAnsi="Arial" w:cs="Arial"/>
          <w:u w:val="single"/>
          <w:lang w:val="cs-CZ"/>
        </w:rPr>
      </w:pPr>
      <w:r w:rsidRPr="00922624">
        <w:rPr>
          <w:rFonts w:ascii="Arial" w:hAnsi="Arial" w:cs="Arial"/>
          <w:u w:val="single"/>
          <w:lang w:val="cs-CZ"/>
        </w:rPr>
        <w:t>2. Popis dané problematiky</w:t>
      </w:r>
    </w:p>
    <w:p w14:paraId="168BC197" w14:textId="77777777" w:rsidR="00922624" w:rsidRPr="00922624" w:rsidRDefault="00922624" w:rsidP="00922624">
      <w:pPr>
        <w:jc w:val="both"/>
        <w:rPr>
          <w:rFonts w:ascii="Arial" w:hAnsi="Arial" w:cs="Arial"/>
          <w:lang w:val="cs-CZ"/>
        </w:rPr>
      </w:pPr>
    </w:p>
    <w:p w14:paraId="0A8E8604" w14:textId="77777777" w:rsidR="00922624" w:rsidRPr="00922624" w:rsidRDefault="00922624" w:rsidP="00922624">
      <w:pPr>
        <w:jc w:val="both"/>
        <w:rPr>
          <w:rFonts w:ascii="Arial" w:hAnsi="Arial" w:cs="Arial"/>
          <w:b/>
          <w:bCs/>
          <w:lang w:val="cs-CZ"/>
        </w:rPr>
      </w:pPr>
      <w:r w:rsidRPr="00922624">
        <w:rPr>
          <w:rFonts w:ascii="Arial" w:hAnsi="Arial" w:cs="Arial"/>
          <w:b/>
          <w:bCs/>
          <w:lang w:val="cs-CZ"/>
        </w:rPr>
        <w:t xml:space="preserve">Citace z Pokynu GFŘ </w:t>
      </w:r>
      <w:proofErr w:type="gramStart"/>
      <w:r w:rsidRPr="00922624">
        <w:rPr>
          <w:rFonts w:ascii="Arial" w:hAnsi="Arial" w:cs="Arial"/>
          <w:b/>
          <w:bCs/>
          <w:lang w:val="cs-CZ"/>
        </w:rPr>
        <w:t>D – 59</w:t>
      </w:r>
      <w:proofErr w:type="gramEnd"/>
      <w:r w:rsidRPr="00922624">
        <w:rPr>
          <w:rFonts w:ascii="Arial" w:hAnsi="Arial" w:cs="Arial"/>
          <w:b/>
          <w:bCs/>
          <w:lang w:val="cs-CZ"/>
        </w:rPr>
        <w:t xml:space="preserve"> (který s účinností od 1.1.2023 nahrazuje Pokyn GFŘ D – 22):</w:t>
      </w:r>
    </w:p>
    <w:p w14:paraId="18B7F7DC"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„K § 6 odst. 7 písm. c) a e)</w:t>
      </w:r>
    </w:p>
    <w:p w14:paraId="64AC736F"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Předmětem daně podle § 6 odst. 7 písm. c) a e) zákona nejsou plnění např.:</w:t>
      </w:r>
    </w:p>
    <w:p w14:paraId="46D55239"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 xml:space="preserve"> </w:t>
      </w:r>
      <w:r w:rsidRPr="00922624">
        <w:rPr>
          <w:rFonts w:ascii="Arial" w:hAnsi="Arial" w:cs="Arial"/>
          <w:i/>
          <w:iCs/>
          <w:lang w:val="cs-CZ"/>
        </w:rPr>
        <w:tab/>
        <w:t>- za odborná vyšetření řidičů podle § 87a zákona č. 361/2000 Sb., o provozu na pozemních komunikacích a o změnách některých zákonů, ve znění pozdějších předpisů (dále jen "zákon o silničním provozu"), protože tato vyšetření jsou součástí pravidelných lékařských prohlídek.“</w:t>
      </w:r>
    </w:p>
    <w:p w14:paraId="00C039F0" w14:textId="77777777" w:rsidR="00922624" w:rsidRPr="00922624" w:rsidRDefault="00922624" w:rsidP="00922624">
      <w:pPr>
        <w:spacing w:before="120"/>
        <w:jc w:val="both"/>
        <w:rPr>
          <w:rFonts w:ascii="Arial" w:hAnsi="Arial" w:cs="Arial"/>
          <w:b/>
          <w:bCs/>
          <w:lang w:val="cs-CZ"/>
        </w:rPr>
      </w:pPr>
      <w:r w:rsidRPr="00922624">
        <w:rPr>
          <w:rFonts w:ascii="Arial" w:hAnsi="Arial" w:cs="Arial"/>
          <w:b/>
          <w:bCs/>
          <w:lang w:val="cs-CZ"/>
        </w:rPr>
        <w:t>Citace z Pokynu GFŘ D – 22 (který nahrazuje Pokyn GFŘ D – 6 a lze jej využít od zdaňovacího období roku 2014) :</w:t>
      </w:r>
    </w:p>
    <w:p w14:paraId="697B6EDF"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„K § 6 odst. 7 písm. c) a e)</w:t>
      </w:r>
    </w:p>
    <w:p w14:paraId="3F59542E"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Předmětem daně podle § 6 odst. 7 písm. c) a e) zákona nejsou plnění např.:</w:t>
      </w:r>
    </w:p>
    <w:p w14:paraId="60FF2E9E"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ab/>
        <w:t>- za vydání paměťové karty řidiče (umožňující obsluhu digitálního tachografu), kterou musí být řidič vybaven podle zákona č. 361/2000 Sb., o provozu na pozemních komunikacích a změnách některých zákonů (zákon o silničním provozu), ve znění pozdějších předpisů,</w:t>
      </w:r>
    </w:p>
    <w:p w14:paraId="38AC4F4C"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 xml:space="preserve"> </w:t>
      </w:r>
      <w:r w:rsidRPr="00922624">
        <w:rPr>
          <w:rFonts w:ascii="Arial" w:hAnsi="Arial" w:cs="Arial"/>
          <w:i/>
          <w:iCs/>
          <w:lang w:val="cs-CZ"/>
        </w:rPr>
        <w:tab/>
        <w:t>- za odborná vyšetření řidičů podle § 87a zákona o silničním provozu, protože tato vyšetření jsou součástí pravidelných lékařských prohlídek.“</w:t>
      </w:r>
    </w:p>
    <w:p w14:paraId="456ADFAA" w14:textId="77777777" w:rsidR="00922624" w:rsidRPr="00922624" w:rsidRDefault="00922624" w:rsidP="00922624">
      <w:pPr>
        <w:spacing w:before="120"/>
        <w:jc w:val="both"/>
        <w:rPr>
          <w:rFonts w:ascii="Arial" w:hAnsi="Arial" w:cs="Arial"/>
          <w:b/>
          <w:bCs/>
          <w:lang w:val="cs-CZ"/>
        </w:rPr>
      </w:pPr>
      <w:r w:rsidRPr="00922624">
        <w:rPr>
          <w:rFonts w:ascii="Arial" w:hAnsi="Arial" w:cs="Arial"/>
          <w:b/>
          <w:bCs/>
          <w:lang w:val="cs-CZ"/>
        </w:rPr>
        <w:t>Citace z Pokynu GFŘ D – 6 (který bylo možno použít od zdaňovacího období započatého v r. 2011):</w:t>
      </w:r>
    </w:p>
    <w:p w14:paraId="30135A6B"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lastRenderedPageBreak/>
        <w:t>„K § 6 odst. 7 písm. c)</w:t>
      </w:r>
    </w:p>
    <w:p w14:paraId="718096A8"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Předmětem daně podle § 6 odst. 7 písm. c) zákona nejsou např. částky, kterými zaměstnavatel hradí zaměstnanci prokázané výdaje</w:t>
      </w:r>
    </w:p>
    <w:p w14:paraId="6D20986D"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ab/>
        <w:t>- za vydání paměťové karty řidiče (umožňující obsluhu digitálního tachografu), kterou musí být řidič vybaven podle § 110a zákona č. 361/2000 Sb., o provozu na pozemních komunikacích a změnách některých zákonů (zákon o silničním provozu), ve znění pozdějších předpisů, nebo</w:t>
      </w:r>
    </w:p>
    <w:p w14:paraId="16846EEF" w14:textId="77777777" w:rsidR="00922624" w:rsidRPr="00922624" w:rsidRDefault="00922624" w:rsidP="00922624">
      <w:pPr>
        <w:jc w:val="both"/>
        <w:rPr>
          <w:rFonts w:ascii="Arial" w:hAnsi="Arial" w:cs="Arial"/>
          <w:b/>
          <w:bCs/>
          <w:lang w:val="cs-CZ"/>
        </w:rPr>
      </w:pPr>
      <w:r w:rsidRPr="00922624">
        <w:rPr>
          <w:rFonts w:ascii="Arial" w:hAnsi="Arial" w:cs="Arial"/>
          <w:i/>
          <w:iCs/>
          <w:lang w:val="cs-CZ"/>
        </w:rPr>
        <w:t xml:space="preserve"> </w:t>
      </w:r>
      <w:r w:rsidRPr="00922624">
        <w:rPr>
          <w:rFonts w:ascii="Arial" w:hAnsi="Arial" w:cs="Arial"/>
          <w:i/>
          <w:iCs/>
          <w:lang w:val="cs-CZ"/>
        </w:rPr>
        <w:tab/>
        <w:t>- za odborná vyšetření řidičů podle § 87a zákona o silničním provozu, protože tato vyšetření jsou součástí pravidelných lékařských prohlídek.“</w:t>
      </w:r>
    </w:p>
    <w:p w14:paraId="71A07880" w14:textId="77777777" w:rsidR="00922624" w:rsidRPr="00922624" w:rsidRDefault="00922624" w:rsidP="00922624">
      <w:pPr>
        <w:spacing w:before="120"/>
        <w:jc w:val="both"/>
        <w:rPr>
          <w:rFonts w:ascii="Arial" w:hAnsi="Arial" w:cs="Arial"/>
          <w:lang w:val="cs-CZ"/>
        </w:rPr>
      </w:pPr>
      <w:r w:rsidRPr="00922624">
        <w:rPr>
          <w:rFonts w:ascii="Arial" w:hAnsi="Arial" w:cs="Arial"/>
          <w:lang w:val="cs-CZ"/>
        </w:rPr>
        <w:t>Z uvedené metodické úpravy, dle názoru předkladatelů, tedy vyplývá, že smyslem a účelem bylo u fyzických osob (zaměstnanců) vyloučit z předmětu daně plnění za vydání paměťové karty řidiče (umožňující obsluhu digitálního tachografu), kterou musí být řidič vybaven podle zákona č. 361/2000 Sb., o provozu na pozemních komunikacích a změnách některých zákonů (zákon o silničním provozu), ve znění pozdějších předpisů.</w:t>
      </w:r>
    </w:p>
    <w:p w14:paraId="343BB0C0" w14:textId="77777777" w:rsidR="00922624" w:rsidRPr="00922624" w:rsidRDefault="00922624" w:rsidP="00922624">
      <w:pPr>
        <w:spacing w:before="120"/>
        <w:jc w:val="both"/>
        <w:rPr>
          <w:rFonts w:ascii="Arial" w:hAnsi="Arial" w:cs="Arial"/>
          <w:lang w:val="cs-CZ"/>
        </w:rPr>
      </w:pPr>
      <w:r w:rsidRPr="00922624">
        <w:rPr>
          <w:rFonts w:ascii="Arial" w:hAnsi="Arial" w:cs="Arial"/>
          <w:lang w:val="cs-CZ"/>
        </w:rPr>
        <w:t>Paměťová karta řidiče, či později již jen karta řidiče je dlouhodobě upravena v ustanovení § 110a zákona o silničním provozu, ve znění pozdějších předpisů. Změna ustanovení § 110a zákona o silničním provozu, ve znění pozdějších předpisů, která byla přijata v r. 2020</w:t>
      </w:r>
      <w:r>
        <w:rPr>
          <w:rFonts w:ascii="Arial" w:hAnsi="Arial" w:cs="Arial"/>
          <w:lang w:val="cs-CZ"/>
        </w:rPr>
        <w:t>,</w:t>
      </w:r>
      <w:r w:rsidRPr="00922624">
        <w:rPr>
          <w:rFonts w:ascii="Arial" w:hAnsi="Arial" w:cs="Arial"/>
          <w:lang w:val="cs-CZ"/>
        </w:rPr>
        <w:t xml:space="preserve"> nemění nic na věcné podstatě – zákonem č. 337/2020 Sb., se vydefinovaly jasnější podmínky, za kterých lze kartu řidiče žadateli vydat, které reflektují</w:t>
      </w:r>
      <w:r>
        <w:rPr>
          <w:rFonts w:ascii="Arial" w:hAnsi="Arial" w:cs="Arial"/>
          <w:lang w:val="cs-CZ"/>
        </w:rPr>
        <w:t xml:space="preserve"> požadavky unijního práva (viz </w:t>
      </w:r>
      <w:r w:rsidRPr="00922624">
        <w:rPr>
          <w:rFonts w:ascii="Arial" w:hAnsi="Arial" w:cs="Arial"/>
          <w:lang w:val="cs-CZ"/>
        </w:rPr>
        <w:t>důvodová zpráva k bodu 7 části III zákona č. 337/2020 Sb.).</w:t>
      </w:r>
    </w:p>
    <w:p w14:paraId="70F87F1A" w14:textId="77777777" w:rsidR="00922624" w:rsidRPr="00922624" w:rsidRDefault="00922624" w:rsidP="00922624">
      <w:pPr>
        <w:spacing w:before="120"/>
        <w:jc w:val="both"/>
        <w:rPr>
          <w:rFonts w:ascii="Arial" w:hAnsi="Arial" w:cs="Arial"/>
          <w:i/>
          <w:iCs/>
          <w:lang w:val="cs-CZ"/>
        </w:rPr>
      </w:pPr>
      <w:r w:rsidRPr="00922624">
        <w:rPr>
          <w:rFonts w:ascii="Arial" w:hAnsi="Arial" w:cs="Arial"/>
          <w:lang w:val="cs-CZ"/>
        </w:rPr>
        <w:t xml:space="preserve">Na základě uvedených skutečností dovozujeme, že nebyl věcný, legislativní ani metodický důvod provést v rámci vydání Pokynu GFŘ </w:t>
      </w:r>
      <w:proofErr w:type="gramStart"/>
      <w:r w:rsidRPr="00922624">
        <w:rPr>
          <w:rFonts w:ascii="Arial" w:hAnsi="Arial" w:cs="Arial"/>
          <w:lang w:val="cs-CZ"/>
        </w:rPr>
        <w:t>D – 59</w:t>
      </w:r>
      <w:proofErr w:type="gramEnd"/>
      <w:r w:rsidRPr="00922624">
        <w:rPr>
          <w:rFonts w:ascii="Arial" w:hAnsi="Arial" w:cs="Arial"/>
          <w:lang w:val="cs-CZ"/>
        </w:rPr>
        <w:t xml:space="preserve"> v komentáři k § 6 odst. 7 písm. c) a e) ZDP věcnou změnu a i po vydání tohoto pokynu účinného od 1.1.2023 platí, že – cit. „</w:t>
      </w:r>
      <w:r w:rsidRPr="00922624">
        <w:rPr>
          <w:rFonts w:ascii="Arial" w:hAnsi="Arial" w:cs="Arial"/>
          <w:i/>
          <w:iCs/>
          <w:lang w:val="cs-CZ"/>
        </w:rPr>
        <w:t>Předmětem daně podle § 6 odst. 7 písm. c) a e) zákona nejsou plnění např.:</w:t>
      </w:r>
    </w:p>
    <w:p w14:paraId="083101FC"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ab/>
        <w:t xml:space="preserve">- za vydání </w:t>
      </w:r>
      <w:r w:rsidRPr="00922624">
        <w:rPr>
          <w:rFonts w:ascii="Arial" w:hAnsi="Arial" w:cs="Arial"/>
          <w:i/>
          <w:iCs/>
          <w:strike/>
          <w:highlight w:val="yellow"/>
          <w:lang w:val="cs-CZ"/>
        </w:rPr>
        <w:t>paměťové</w:t>
      </w:r>
      <w:r w:rsidRPr="00922624">
        <w:rPr>
          <w:rFonts w:ascii="Arial" w:hAnsi="Arial" w:cs="Arial"/>
          <w:i/>
          <w:iCs/>
          <w:lang w:val="cs-CZ"/>
        </w:rPr>
        <w:t xml:space="preserve"> karty řidiče (umožňující obsluhu </w:t>
      </w:r>
      <w:r w:rsidRPr="00922624">
        <w:rPr>
          <w:rFonts w:ascii="Arial" w:hAnsi="Arial" w:cs="Arial"/>
          <w:i/>
          <w:iCs/>
          <w:strike/>
          <w:highlight w:val="yellow"/>
          <w:lang w:val="cs-CZ"/>
        </w:rPr>
        <w:t>digitálního</w:t>
      </w:r>
      <w:r w:rsidRPr="00922624">
        <w:rPr>
          <w:rFonts w:ascii="Arial" w:hAnsi="Arial" w:cs="Arial"/>
          <w:i/>
          <w:iCs/>
          <w:lang w:val="cs-CZ"/>
        </w:rPr>
        <w:t xml:space="preserve"> tachografu </w:t>
      </w:r>
      <w:r w:rsidRPr="00922624">
        <w:rPr>
          <w:rFonts w:ascii="Arial" w:hAnsi="Arial" w:cs="Arial"/>
          <w:i/>
          <w:iCs/>
          <w:highlight w:val="yellow"/>
          <w:lang w:val="cs-CZ"/>
        </w:rPr>
        <w:t>v silniční dopravě</w:t>
      </w:r>
      <w:r w:rsidRPr="00922624">
        <w:rPr>
          <w:rFonts w:ascii="Arial" w:hAnsi="Arial" w:cs="Arial"/>
          <w:i/>
          <w:iCs/>
          <w:lang w:val="cs-CZ"/>
        </w:rPr>
        <w:t>), kterou musí být řidič vybaven podle zákona č. 361/2000 Sb., o provozu na pozemních komunikacích a změnách některých zákonů (zákon o silničním provozu), ve znění pozdějších předpisů.“</w:t>
      </w:r>
    </w:p>
    <w:p w14:paraId="5B25C5A3" w14:textId="77777777" w:rsidR="00922624" w:rsidRPr="00922624" w:rsidRDefault="00922624" w:rsidP="00922624">
      <w:pPr>
        <w:jc w:val="both"/>
        <w:rPr>
          <w:rFonts w:ascii="Arial" w:hAnsi="Arial" w:cs="Arial"/>
          <w:i/>
          <w:iCs/>
          <w:lang w:val="cs-CZ"/>
        </w:rPr>
      </w:pPr>
      <w:r w:rsidRPr="00922624">
        <w:rPr>
          <w:rFonts w:ascii="Arial" w:hAnsi="Arial" w:cs="Arial"/>
          <w:i/>
          <w:iCs/>
          <w:lang w:val="cs-CZ"/>
        </w:rPr>
        <w:t>Pozn.: změny oproti původnímu textu z Pokynu GFŘ D – 22 jsou vyznačeny předkladateli příspěvku žlutou barvou – pokud je text přeškrtnut, tak se vypouští.</w:t>
      </w:r>
    </w:p>
    <w:p w14:paraId="531BD4AE" w14:textId="77777777" w:rsidR="00922624" w:rsidRPr="00922624" w:rsidRDefault="00922624" w:rsidP="00922624">
      <w:pPr>
        <w:jc w:val="both"/>
        <w:rPr>
          <w:rFonts w:ascii="Arial" w:hAnsi="Arial" w:cs="Arial"/>
          <w:i/>
          <w:iCs/>
          <w:lang w:val="cs-CZ"/>
        </w:rPr>
      </w:pPr>
    </w:p>
    <w:p w14:paraId="3B44E8C9" w14:textId="77777777" w:rsidR="00922624" w:rsidRPr="00922624" w:rsidRDefault="00922624" w:rsidP="00922624">
      <w:pPr>
        <w:jc w:val="both"/>
        <w:rPr>
          <w:rFonts w:ascii="Arial" w:hAnsi="Arial" w:cs="Arial"/>
          <w:u w:val="single"/>
          <w:lang w:val="cs-CZ"/>
        </w:rPr>
      </w:pPr>
      <w:r w:rsidRPr="00922624">
        <w:rPr>
          <w:rFonts w:ascii="Arial" w:hAnsi="Arial" w:cs="Arial"/>
          <w:u w:val="single"/>
          <w:lang w:val="cs-CZ"/>
        </w:rPr>
        <w:t>3. Závěr</w:t>
      </w:r>
    </w:p>
    <w:p w14:paraId="5DA34ABF" w14:textId="77777777" w:rsidR="00922624" w:rsidRPr="00922624" w:rsidRDefault="00922624" w:rsidP="00922624">
      <w:pPr>
        <w:jc w:val="both"/>
        <w:rPr>
          <w:rFonts w:ascii="Arial" w:hAnsi="Arial" w:cs="Arial"/>
          <w:lang w:val="cs-CZ"/>
        </w:rPr>
      </w:pPr>
    </w:p>
    <w:p w14:paraId="5C777885" w14:textId="77777777" w:rsidR="00922624" w:rsidRPr="00922624" w:rsidRDefault="00922624" w:rsidP="00922624">
      <w:pPr>
        <w:jc w:val="both"/>
        <w:rPr>
          <w:rFonts w:ascii="Arial" w:hAnsi="Arial" w:cs="Arial"/>
          <w:lang w:val="cs-CZ"/>
        </w:rPr>
      </w:pPr>
      <w:r w:rsidRPr="00922624">
        <w:rPr>
          <w:rFonts w:ascii="Arial" w:hAnsi="Arial" w:cs="Arial"/>
          <w:lang w:val="cs-CZ"/>
        </w:rPr>
        <w:t xml:space="preserve">Navrhujeme potvrdit, že i od 1.1.2023, tedy od účinnosti Pokynu GFŘ </w:t>
      </w:r>
      <w:proofErr w:type="gramStart"/>
      <w:r w:rsidRPr="00922624">
        <w:rPr>
          <w:rFonts w:ascii="Arial" w:hAnsi="Arial" w:cs="Arial"/>
          <w:lang w:val="cs-CZ"/>
        </w:rPr>
        <w:t>D – 59</w:t>
      </w:r>
      <w:proofErr w:type="gramEnd"/>
      <w:r w:rsidRPr="00922624">
        <w:rPr>
          <w:rFonts w:ascii="Arial" w:hAnsi="Arial" w:cs="Arial"/>
          <w:lang w:val="cs-CZ"/>
        </w:rPr>
        <w:t xml:space="preserve"> platí metodický závěr vztahující s k ustanovení § 6 odst. 7 ZDP, že předmětem daně podle § 6 odst. 7 písm. c) a e) zákona nejsou plnění např. za vydání karty řidiče (umožňující obsluhu tachografu v silniční dopravě), kterou musí být řidič vybaven podle zákona </w:t>
      </w:r>
      <w:r w:rsidRPr="00922624">
        <w:rPr>
          <w:rFonts w:ascii="Arial" w:hAnsi="Arial" w:cs="Arial"/>
          <w:lang w:val="cs-CZ"/>
        </w:rPr>
        <w:br/>
        <w:t>č. 361/2000 Sb., o provozu na pozemních komunikacích a změnách některých zákonů (zákon o silničním provozu), ve znění pozdějších předpisů.</w:t>
      </w:r>
    </w:p>
    <w:p w14:paraId="6E577F2C" w14:textId="77777777" w:rsidR="00922624" w:rsidRPr="00922624" w:rsidRDefault="00922624" w:rsidP="00922624">
      <w:pPr>
        <w:jc w:val="both"/>
        <w:rPr>
          <w:rFonts w:ascii="Arial" w:hAnsi="Arial" w:cs="Arial"/>
          <w:lang w:val="cs-CZ"/>
        </w:rPr>
      </w:pPr>
    </w:p>
    <w:p w14:paraId="2DB6BAAA" w14:textId="32E72E80" w:rsidR="00922624" w:rsidRDefault="00922624" w:rsidP="00922624">
      <w:pPr>
        <w:jc w:val="both"/>
        <w:rPr>
          <w:rFonts w:ascii="Arial" w:hAnsi="Arial" w:cs="Arial"/>
          <w:lang w:val="cs-CZ"/>
        </w:rPr>
      </w:pPr>
      <w:r w:rsidRPr="00922624">
        <w:rPr>
          <w:rFonts w:ascii="Arial" w:hAnsi="Arial" w:cs="Arial"/>
          <w:lang w:val="cs-CZ"/>
        </w:rPr>
        <w:t>Navrhujeme přijmout výše uvedený závěr a vhodným způsobem jej publikovat.</w:t>
      </w:r>
    </w:p>
    <w:p w14:paraId="4635BCD0" w14:textId="77777777" w:rsidR="003D0B01" w:rsidRDefault="003D0B01" w:rsidP="003D0B01">
      <w:pPr>
        <w:jc w:val="both"/>
        <w:rPr>
          <w:rFonts w:ascii="Arial" w:hAnsi="Arial" w:cs="Arial"/>
          <w:b/>
          <w:highlight w:val="cyan"/>
          <w:u w:val="single"/>
          <w:lang w:val="cs-CZ"/>
        </w:rPr>
      </w:pPr>
    </w:p>
    <w:p w14:paraId="6BC6301C" w14:textId="3CC3FFB6" w:rsidR="003D0B01" w:rsidRPr="003D0B01" w:rsidRDefault="003D0B01" w:rsidP="003D0B01">
      <w:pPr>
        <w:jc w:val="both"/>
        <w:rPr>
          <w:rFonts w:ascii="Arial" w:hAnsi="Arial" w:cs="Arial"/>
          <w:b/>
          <w:i/>
          <w:iCs/>
          <w:highlight w:val="cyan"/>
          <w:u w:val="single"/>
          <w:lang w:val="cs-CZ"/>
        </w:rPr>
      </w:pPr>
      <w:r w:rsidRPr="003D0B01">
        <w:rPr>
          <w:rFonts w:ascii="Arial" w:hAnsi="Arial" w:cs="Arial"/>
          <w:b/>
          <w:i/>
          <w:iCs/>
          <w:highlight w:val="cyan"/>
          <w:u w:val="single"/>
          <w:lang w:val="cs-CZ"/>
        </w:rPr>
        <w:t>Stanovisko GFŘ:</w:t>
      </w:r>
    </w:p>
    <w:p w14:paraId="2D308335" w14:textId="77777777" w:rsidR="003D0B01" w:rsidRPr="003D0B01" w:rsidRDefault="003D0B01" w:rsidP="003D0B01">
      <w:pPr>
        <w:jc w:val="both"/>
        <w:rPr>
          <w:rFonts w:ascii="Arial" w:hAnsi="Arial" w:cs="Arial"/>
          <w:bCs/>
          <w:i/>
          <w:iCs/>
          <w:lang w:val="cs-CZ"/>
        </w:rPr>
      </w:pPr>
    </w:p>
    <w:p w14:paraId="3926446C" w14:textId="77777777" w:rsidR="003D0B01" w:rsidRPr="00DA0F06" w:rsidRDefault="003D0B01" w:rsidP="003D0B01">
      <w:pPr>
        <w:jc w:val="both"/>
        <w:rPr>
          <w:rFonts w:ascii="Arial" w:hAnsi="Arial" w:cs="Arial"/>
          <w:b/>
          <w:bCs/>
          <w:lang w:val="cs-CZ"/>
        </w:rPr>
      </w:pPr>
      <w:r w:rsidRPr="003D0B01">
        <w:rPr>
          <w:rFonts w:ascii="Arial" w:hAnsi="Arial" w:cs="Arial"/>
          <w:bCs/>
          <w:i/>
          <w:iCs/>
          <w:highlight w:val="cyan"/>
          <w:lang w:val="cs-CZ"/>
        </w:rPr>
        <w:t>Souhlas se závěrem předkladatele</w:t>
      </w:r>
      <w:r w:rsidRPr="00DA0F06">
        <w:rPr>
          <w:rFonts w:ascii="Arial" w:hAnsi="Arial" w:cs="Arial"/>
          <w:b/>
          <w:bCs/>
          <w:highlight w:val="cyan"/>
          <w:lang w:val="cs-CZ"/>
        </w:rPr>
        <w:t>.</w:t>
      </w:r>
    </w:p>
    <w:p w14:paraId="5623D303" w14:textId="77777777" w:rsidR="0049516A" w:rsidRDefault="0049516A">
      <w:pPr>
        <w:rPr>
          <w:rFonts w:ascii="Arial" w:hAnsi="Arial" w:cs="Arial"/>
          <w:lang w:val="cs-CZ"/>
        </w:rPr>
      </w:pPr>
      <w:r>
        <w:rPr>
          <w:rFonts w:ascii="Arial" w:hAnsi="Arial" w:cs="Arial"/>
          <w:lang w:val="cs-CZ"/>
        </w:rPr>
        <w:br w:type="page"/>
      </w:r>
    </w:p>
    <w:p w14:paraId="5A8198FB" w14:textId="77777777" w:rsidR="00CD6AF3" w:rsidRPr="00371022" w:rsidRDefault="00CD6AF3" w:rsidP="00CD6AF3">
      <w:pPr>
        <w:jc w:val="center"/>
        <w:rPr>
          <w:rFonts w:ascii="Arial" w:hAnsi="Arial" w:cs="Arial"/>
          <w:b/>
          <w:color w:val="000000"/>
          <w:sz w:val="32"/>
          <w:szCs w:val="32"/>
          <w:u w:val="single"/>
          <w:shd w:val="clear" w:color="auto" w:fill="FFFFFF"/>
          <w:lang w:val="cs-CZ"/>
        </w:rPr>
      </w:pPr>
      <w:r w:rsidRPr="00371022">
        <w:rPr>
          <w:rFonts w:ascii="Arial" w:hAnsi="Arial" w:cs="Arial"/>
          <w:b/>
          <w:color w:val="000000"/>
          <w:sz w:val="32"/>
          <w:szCs w:val="32"/>
          <w:highlight w:val="yellow"/>
          <w:u w:val="single"/>
          <w:shd w:val="clear" w:color="auto" w:fill="FFFFFF"/>
          <w:lang w:val="cs-CZ"/>
        </w:rPr>
        <w:lastRenderedPageBreak/>
        <w:t>ODLOŽENÝ PŘÍSPĚVEK</w:t>
      </w:r>
    </w:p>
    <w:p w14:paraId="3474D37C" w14:textId="5544BC58" w:rsidR="0084634C" w:rsidRDefault="0084634C" w:rsidP="0084634C">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00E201BD" w14:textId="77777777" w:rsidR="0084634C" w:rsidRDefault="0084634C" w:rsidP="0084634C">
      <w:pPr>
        <w:jc w:val="center"/>
        <w:rPr>
          <w:rFonts w:ascii="Arial" w:hAnsi="Arial" w:cs="Arial"/>
          <w:b/>
          <w:color w:val="000000"/>
          <w:u w:val="single"/>
          <w:shd w:val="clear" w:color="auto" w:fill="FFFFFF"/>
          <w:lang w:val="cs-CZ"/>
        </w:rPr>
      </w:pPr>
    </w:p>
    <w:p w14:paraId="796950ED" w14:textId="77777777" w:rsidR="0084634C" w:rsidRDefault="0084634C" w:rsidP="0084634C">
      <w:pPr>
        <w:rPr>
          <w:rFonts w:ascii="Arial" w:hAnsi="Arial" w:cs="Arial"/>
          <w:b/>
          <w:color w:val="000000"/>
          <w:shd w:val="clear" w:color="auto" w:fill="FFFFFF"/>
          <w:lang w:val="cs-CZ"/>
        </w:rPr>
      </w:pPr>
    </w:p>
    <w:p w14:paraId="585286D0" w14:textId="77777777" w:rsidR="0084634C" w:rsidRDefault="0084634C" w:rsidP="0084634C">
      <w:pPr>
        <w:rPr>
          <w:rFonts w:ascii="Arial" w:hAnsi="Arial" w:cs="Arial"/>
          <w:b/>
          <w:color w:val="000000"/>
          <w:shd w:val="clear" w:color="auto" w:fill="FFFFFF"/>
          <w:lang w:val="cs-CZ"/>
        </w:rPr>
      </w:pPr>
      <w:r w:rsidRPr="00691E34">
        <w:rPr>
          <w:rFonts w:ascii="Arial" w:hAnsi="Arial" w:cs="Arial"/>
          <w:b/>
          <w:color w:val="000000"/>
          <w:shd w:val="clear" w:color="auto" w:fill="FFFFFF"/>
          <w:lang w:val="cs-CZ"/>
        </w:rPr>
        <w:t>614/</w:t>
      </w:r>
      <w:r>
        <w:rPr>
          <w:rFonts w:ascii="Arial" w:hAnsi="Arial" w:cs="Arial"/>
          <w:b/>
          <w:color w:val="000000"/>
          <w:shd w:val="clear" w:color="auto" w:fill="FFFFFF"/>
          <w:lang w:val="cs-CZ"/>
        </w:rPr>
        <w:t xml:space="preserve">28.11.23 </w:t>
      </w:r>
      <w:r w:rsidRPr="00691E34">
        <w:rPr>
          <w:rFonts w:ascii="Arial" w:hAnsi="Arial" w:cs="Arial"/>
          <w:b/>
          <w:color w:val="000000"/>
          <w:shd w:val="clear" w:color="auto" w:fill="FFFFFF"/>
          <w:lang w:val="cs-CZ"/>
        </w:rPr>
        <w:t>Daňový režim výplaty podílu na likvidačním zůstatku v nepeněžní formě</w:t>
      </w:r>
      <w:r>
        <w:rPr>
          <w:rFonts w:ascii="Arial" w:hAnsi="Arial" w:cs="Arial"/>
          <w:b/>
          <w:color w:val="000000"/>
          <w:shd w:val="clear" w:color="auto" w:fill="FFFFFF"/>
          <w:lang w:val="cs-CZ"/>
        </w:rPr>
        <w:t xml:space="preserve"> </w:t>
      </w:r>
    </w:p>
    <w:p w14:paraId="710AC289" w14:textId="77777777" w:rsidR="0084634C" w:rsidRDefault="0084634C" w:rsidP="0084634C">
      <w:pPr>
        <w:rPr>
          <w:rFonts w:ascii="Arial" w:hAnsi="Arial" w:cs="Arial"/>
          <w:b/>
          <w:color w:val="000000"/>
          <w:shd w:val="clear" w:color="auto" w:fill="FFFFFF"/>
          <w:lang w:val="cs-CZ"/>
        </w:rPr>
      </w:pPr>
    </w:p>
    <w:p w14:paraId="44D5EDF7" w14:textId="77777777" w:rsidR="0084634C" w:rsidRDefault="0084634C" w:rsidP="0084634C">
      <w:pPr>
        <w:rPr>
          <w:rFonts w:ascii="Arial" w:hAnsi="Arial" w:cs="Arial"/>
          <w:color w:val="000000"/>
          <w:shd w:val="clear" w:color="auto" w:fill="FFFFFF"/>
          <w:lang w:val="cs-CZ"/>
        </w:rPr>
      </w:pPr>
      <w:r w:rsidRPr="00691E34">
        <w:rPr>
          <w:rFonts w:ascii="Arial" w:hAnsi="Arial" w:cs="Arial"/>
          <w:color w:val="000000"/>
          <w:shd w:val="clear" w:color="auto" w:fill="FFFFFF"/>
          <w:lang w:val="cs-CZ"/>
        </w:rPr>
        <w:t>Předkládá:</w:t>
      </w:r>
      <w:r w:rsidRPr="00691E34">
        <w:rPr>
          <w:rFonts w:ascii="Arial" w:hAnsi="Arial" w:cs="Arial"/>
          <w:color w:val="000000"/>
          <w:shd w:val="clear" w:color="auto" w:fill="FFFFFF"/>
          <w:lang w:val="cs-CZ"/>
        </w:rPr>
        <w:tab/>
        <w:t>JUDr. Ing</w:t>
      </w:r>
      <w:r>
        <w:rPr>
          <w:rFonts w:ascii="Arial" w:hAnsi="Arial" w:cs="Arial"/>
          <w:color w:val="000000"/>
          <w:shd w:val="clear" w:color="auto" w:fill="FFFFFF"/>
          <w:lang w:val="cs-CZ"/>
        </w:rPr>
        <w:t xml:space="preserve">. Martin Kopecký,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3826</w:t>
      </w:r>
    </w:p>
    <w:p w14:paraId="5E1701A8" w14:textId="77777777" w:rsidR="0084634C" w:rsidRDefault="0084634C" w:rsidP="0084634C">
      <w:pPr>
        <w:rPr>
          <w:rFonts w:ascii="Arial" w:hAnsi="Arial" w:cs="Arial"/>
          <w:color w:val="000000"/>
          <w:shd w:val="clear" w:color="auto" w:fill="FFFFFF"/>
          <w:lang w:val="cs-CZ"/>
        </w:rPr>
      </w:pPr>
    </w:p>
    <w:p w14:paraId="33A77D92" w14:textId="77777777" w:rsidR="0084634C" w:rsidRPr="00EE60BF" w:rsidRDefault="0084634C" w:rsidP="0084634C">
      <w:pPr>
        <w:pStyle w:val="Odstavecseseznamem"/>
        <w:numPr>
          <w:ilvl w:val="0"/>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Úvod</w:t>
      </w:r>
      <w:proofErr w:type="spellEnd"/>
    </w:p>
    <w:p w14:paraId="3B892753" w14:textId="77777777" w:rsidR="0084634C" w:rsidRPr="00EE60BF" w:rsidRDefault="0084634C" w:rsidP="0084634C">
      <w:pPr>
        <w:jc w:val="both"/>
        <w:rPr>
          <w:rFonts w:ascii="Arial" w:hAnsi="Arial" w:cs="Arial"/>
        </w:rPr>
      </w:pPr>
      <w:proofErr w:type="spellStart"/>
      <w:r w:rsidRPr="00EE60BF">
        <w:rPr>
          <w:rFonts w:ascii="Arial" w:hAnsi="Arial" w:cs="Arial"/>
        </w:rPr>
        <w:t>Tématem</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příspěvku</w:t>
      </w:r>
      <w:proofErr w:type="spellEnd"/>
      <w:r w:rsidRPr="00EE60BF">
        <w:rPr>
          <w:rFonts w:ascii="Arial" w:hAnsi="Arial" w:cs="Arial"/>
        </w:rPr>
        <w:t xml:space="preserve"> je </w:t>
      </w:r>
      <w:proofErr w:type="spellStart"/>
      <w:r w:rsidRPr="00EE60BF">
        <w:rPr>
          <w:rFonts w:ascii="Arial" w:hAnsi="Arial" w:cs="Arial"/>
        </w:rPr>
        <w:t>režim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u </w:t>
      </w:r>
      <w:proofErr w:type="spellStart"/>
      <w:r w:rsidRPr="00EE60BF">
        <w:rPr>
          <w:rFonts w:ascii="Arial" w:hAnsi="Arial" w:cs="Arial"/>
        </w:rPr>
        <w:t>výplaty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zrušení</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s </w:t>
      </w:r>
      <w:proofErr w:type="spellStart"/>
      <w:r w:rsidRPr="00EE60BF">
        <w:rPr>
          <w:rFonts w:ascii="Arial" w:hAnsi="Arial" w:cs="Arial"/>
        </w:rPr>
        <w:t>likvidací</w:t>
      </w:r>
      <w:proofErr w:type="spellEnd"/>
      <w:r w:rsidRPr="00EE60BF">
        <w:rPr>
          <w:rFonts w:ascii="Arial" w:hAnsi="Arial" w:cs="Arial"/>
        </w:rPr>
        <w:t xml:space="preserve"> za </w:t>
      </w:r>
      <w:proofErr w:type="spellStart"/>
      <w:r w:rsidRPr="00EE60BF">
        <w:rPr>
          <w:rFonts w:ascii="Arial" w:hAnsi="Arial" w:cs="Arial"/>
        </w:rPr>
        <w:t>situace</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popř</w:t>
      </w:r>
      <w:proofErr w:type="spellEnd"/>
      <w:r w:rsidRPr="00EE60BF">
        <w:rPr>
          <w:rFonts w:ascii="Arial" w:hAnsi="Arial" w:cs="Arial"/>
        </w:rPr>
        <w:t xml:space="preserve">. </w:t>
      </w:r>
      <w:proofErr w:type="spellStart"/>
      <w:r w:rsidRPr="00EE60BF">
        <w:rPr>
          <w:rFonts w:ascii="Arial" w:hAnsi="Arial" w:cs="Arial"/>
        </w:rPr>
        <w:t>jinou</w:t>
      </w:r>
      <w:proofErr w:type="spellEnd"/>
      <w:r w:rsidRPr="00EE60BF">
        <w:rPr>
          <w:rFonts w:ascii="Arial" w:hAnsi="Arial" w:cs="Arial"/>
        </w:rPr>
        <w:t xml:space="preserve"> </w:t>
      </w:r>
      <w:proofErr w:type="spellStart"/>
      <w:r w:rsidRPr="00EE60BF">
        <w:rPr>
          <w:rFonts w:ascii="Arial" w:hAnsi="Arial" w:cs="Arial"/>
        </w:rPr>
        <w:t>osobou</w:t>
      </w:r>
      <w:proofErr w:type="spellEnd"/>
      <w:r w:rsidRPr="00EE60BF">
        <w:rPr>
          <w:rFonts w:ascii="Arial" w:hAnsi="Arial" w:cs="Arial"/>
        </w:rPr>
        <w:t xml:space="preserve"> </w:t>
      </w:r>
      <w:proofErr w:type="spellStart"/>
      <w:r w:rsidRPr="00EE60BF">
        <w:rPr>
          <w:rFonts w:ascii="Arial" w:hAnsi="Arial" w:cs="Arial"/>
        </w:rPr>
        <w:t>oprávněnou</w:t>
      </w:r>
      <w:proofErr w:type="spellEnd"/>
      <w:r w:rsidRPr="00EE60BF">
        <w:rPr>
          <w:rFonts w:ascii="Arial" w:hAnsi="Arial" w:cs="Arial"/>
        </w:rPr>
        <w:t xml:space="preserve"> k </w:t>
      </w:r>
      <w:proofErr w:type="spellStart"/>
      <w:r w:rsidRPr="00EE60BF">
        <w:rPr>
          <w:rFonts w:ascii="Arial" w:hAnsi="Arial" w:cs="Arial"/>
        </w:rPr>
        <w:t>likvidačnímu</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jen</w:t>
      </w:r>
      <w:proofErr w:type="spellEnd"/>
      <w:r w:rsidRPr="00EE60BF">
        <w:rPr>
          <w:rFonts w:ascii="Arial" w:hAnsi="Arial" w:cs="Arial"/>
        </w:rPr>
        <w:t xml:space="preserve"> „</w:t>
      </w:r>
      <w:proofErr w:type="spellStart"/>
      <w:proofErr w:type="gramStart"/>
      <w:r w:rsidRPr="00EE60BF">
        <w:rPr>
          <w:rFonts w:ascii="Arial" w:hAnsi="Arial" w:cs="Arial"/>
          <w:b/>
          <w:bCs/>
        </w:rPr>
        <w:t>společník</w:t>
      </w:r>
      <w:proofErr w:type="spellEnd"/>
      <w:r w:rsidRPr="00EE60BF">
        <w:rPr>
          <w:rFonts w:ascii="Arial" w:hAnsi="Arial" w:cs="Arial"/>
        </w:rPr>
        <w:t>“</w:t>
      </w:r>
      <w:proofErr w:type="gramEnd"/>
      <w:r w:rsidRPr="00EE60BF">
        <w:rPr>
          <w:rFonts w:ascii="Arial" w:hAnsi="Arial" w:cs="Arial"/>
        </w:rPr>
        <w:t xml:space="preserve">) je a)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b)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w:t>
      </w:r>
    </w:p>
    <w:p w14:paraId="17B67A77" w14:textId="77777777" w:rsidR="0084634C" w:rsidRDefault="0084634C" w:rsidP="0084634C">
      <w:pPr>
        <w:jc w:val="both"/>
        <w:rPr>
          <w:rFonts w:ascii="Arial" w:hAnsi="Arial" w:cs="Arial"/>
        </w:rPr>
      </w:pPr>
    </w:p>
    <w:p w14:paraId="4E84DC81" w14:textId="77777777" w:rsidR="0084634C" w:rsidRDefault="0084634C" w:rsidP="0084634C">
      <w:pPr>
        <w:jc w:val="both"/>
        <w:rPr>
          <w:rFonts w:ascii="Arial" w:hAnsi="Arial" w:cs="Arial"/>
        </w:rPr>
      </w:pPr>
      <w:proofErr w:type="spellStart"/>
      <w:r w:rsidRPr="00EE60BF">
        <w:rPr>
          <w:rFonts w:ascii="Arial" w:hAnsi="Arial" w:cs="Arial"/>
        </w:rPr>
        <w:t>Navržené</w:t>
      </w:r>
      <w:proofErr w:type="spellEnd"/>
      <w:r w:rsidRPr="00EE60BF">
        <w:rPr>
          <w:rFonts w:ascii="Arial" w:hAnsi="Arial" w:cs="Arial"/>
        </w:rPr>
        <w:t xml:space="preserve"> </w:t>
      </w:r>
      <w:proofErr w:type="spellStart"/>
      <w:r w:rsidRPr="00EE60BF">
        <w:rPr>
          <w:rFonts w:ascii="Arial" w:hAnsi="Arial" w:cs="Arial"/>
        </w:rPr>
        <w:t>závěry</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popsány</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vyplácí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českými</w:t>
      </w:r>
      <w:proofErr w:type="spellEnd"/>
      <w:r w:rsidRPr="00EE60BF">
        <w:rPr>
          <w:rFonts w:ascii="Arial" w:hAnsi="Arial" w:cs="Arial"/>
        </w:rPr>
        <w:t xml:space="preserve"> </w:t>
      </w:r>
      <w:proofErr w:type="spellStart"/>
      <w:r w:rsidRPr="00EE60BF">
        <w:rPr>
          <w:rFonts w:ascii="Arial" w:hAnsi="Arial" w:cs="Arial"/>
        </w:rPr>
        <w:t>daňovými</w:t>
      </w:r>
      <w:proofErr w:type="spellEnd"/>
      <w:r w:rsidRPr="00EE60BF">
        <w:rPr>
          <w:rFonts w:ascii="Arial" w:hAnsi="Arial" w:cs="Arial"/>
        </w:rPr>
        <w:t xml:space="preserve"> </w:t>
      </w:r>
      <w:proofErr w:type="spellStart"/>
      <w:r w:rsidRPr="00EE60BF">
        <w:rPr>
          <w:rFonts w:ascii="Arial" w:hAnsi="Arial" w:cs="Arial"/>
        </w:rPr>
        <w:t>rezidenty</w:t>
      </w:r>
      <w:proofErr w:type="spellEnd"/>
      <w:r w:rsidRPr="00EE60BF">
        <w:rPr>
          <w:rFonts w:ascii="Arial" w:hAnsi="Arial" w:cs="Arial"/>
        </w:rPr>
        <w:t xml:space="preserve">, a jak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mají</w:t>
      </w:r>
      <w:proofErr w:type="spellEnd"/>
      <w:r w:rsidRPr="00EE60BF">
        <w:rPr>
          <w:rFonts w:ascii="Arial" w:hAnsi="Arial" w:cs="Arial"/>
        </w:rPr>
        <w:t xml:space="preserve"> </w:t>
      </w:r>
      <w:proofErr w:type="spellStart"/>
      <w:r w:rsidRPr="00EE60BF">
        <w:rPr>
          <w:rFonts w:ascii="Arial" w:hAnsi="Arial" w:cs="Arial"/>
        </w:rPr>
        <w:t>právní</w:t>
      </w:r>
      <w:proofErr w:type="spellEnd"/>
      <w:r w:rsidRPr="00EE60BF">
        <w:rPr>
          <w:rFonts w:ascii="Arial" w:hAnsi="Arial" w:cs="Arial"/>
        </w:rPr>
        <w:t xml:space="preserve"> </w:t>
      </w:r>
      <w:proofErr w:type="spellStart"/>
      <w:r w:rsidRPr="00EE60BF">
        <w:rPr>
          <w:rFonts w:ascii="Arial" w:hAnsi="Arial" w:cs="Arial"/>
        </w:rPr>
        <w:t>formu</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Modelově</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uvažujeme</w:t>
      </w:r>
      <w:proofErr w:type="spellEnd"/>
    </w:p>
    <w:p w14:paraId="5A0C2052" w14:textId="77777777" w:rsidR="0084634C" w:rsidRPr="00EE60BF" w:rsidRDefault="0084634C" w:rsidP="0084634C">
      <w:pPr>
        <w:jc w:val="both"/>
        <w:rPr>
          <w:rFonts w:ascii="Arial" w:hAnsi="Arial" w:cs="Arial"/>
        </w:rPr>
      </w:pPr>
    </w:p>
    <w:p w14:paraId="1E40D35E"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1.000;</w:t>
      </w:r>
      <w:proofErr w:type="gramEnd"/>
    </w:p>
    <w:p w14:paraId="37F96E01"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v </w:t>
      </w:r>
      <w:proofErr w:type="spellStart"/>
      <w:r w:rsidRPr="00EE60BF">
        <w:rPr>
          <w:rFonts w:ascii="Arial" w:hAnsi="Arial" w:cs="Arial"/>
          <w:sz w:val="24"/>
          <w:szCs w:val="24"/>
        </w:rPr>
        <w:t>účetnictví</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2.000;</w:t>
      </w:r>
      <w:proofErr w:type="gramEnd"/>
    </w:p>
    <w:p w14:paraId="76FDE052"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3.000;</w:t>
      </w:r>
      <w:proofErr w:type="gramEnd"/>
    </w:p>
    <w:p w14:paraId="0493A054"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4.000;</w:t>
      </w:r>
      <w:proofErr w:type="gramEnd"/>
    </w:p>
    <w:p w14:paraId="2E7A77C8"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zjištěnou</w:t>
      </w:r>
      <w:proofErr w:type="spellEnd"/>
      <w:r w:rsidRPr="00EE60BF" w:rsidDel="00F53E86">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znaleckým</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w:t>
      </w:r>
      <w:proofErr w:type="spellStart"/>
      <w:r w:rsidRPr="00EE60BF">
        <w:rPr>
          <w:rFonts w:ascii="Arial" w:hAnsi="Arial" w:cs="Arial"/>
          <w:sz w:val="24"/>
          <w:szCs w:val="24"/>
        </w:rPr>
        <w:t>zákona</w:t>
      </w:r>
      <w:proofErr w:type="spellEnd"/>
      <w:r w:rsidRPr="00EE60BF">
        <w:rPr>
          <w:rFonts w:ascii="Arial" w:hAnsi="Arial" w:cs="Arial"/>
          <w:sz w:val="24"/>
          <w:szCs w:val="24"/>
        </w:rPr>
        <w:t xml:space="preserve"> č. 151/1997 Sb., o </w:t>
      </w:r>
      <w:proofErr w:type="spellStart"/>
      <w:r w:rsidRPr="00EE60BF">
        <w:rPr>
          <w:rFonts w:ascii="Arial" w:hAnsi="Arial" w:cs="Arial"/>
          <w:sz w:val="24"/>
          <w:szCs w:val="24"/>
        </w:rPr>
        <w:t>oceňování</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gramStart"/>
      <w:r w:rsidRPr="00EE60BF">
        <w:rPr>
          <w:rFonts w:ascii="Arial" w:hAnsi="Arial" w:cs="Arial"/>
          <w:b/>
          <w:bCs/>
          <w:sz w:val="24"/>
          <w:szCs w:val="24"/>
        </w:rPr>
        <w:t>ZOM</w:t>
      </w:r>
      <w:r w:rsidRPr="00EE60BF">
        <w:rPr>
          <w:rFonts w:ascii="Arial" w:hAnsi="Arial" w:cs="Arial"/>
          <w:sz w:val="24"/>
          <w:szCs w:val="24"/>
        </w:rPr>
        <w:t>“</w:t>
      </w:r>
      <w:proofErr w:type="gramEnd"/>
      <w:r w:rsidRPr="00EE60BF">
        <w:rPr>
          <w:rFonts w:ascii="Arial" w:hAnsi="Arial" w:cs="Arial"/>
          <w:sz w:val="24"/>
          <w:szCs w:val="24"/>
        </w:rPr>
        <w:t xml:space="preserve">) a </w:t>
      </w:r>
      <w:proofErr w:type="spellStart"/>
      <w:r w:rsidRPr="00EE60BF">
        <w:rPr>
          <w:rFonts w:ascii="Arial" w:hAnsi="Arial" w:cs="Arial"/>
          <w:sz w:val="24"/>
          <w:szCs w:val="24"/>
        </w:rPr>
        <w:t>prováděcí</w:t>
      </w:r>
      <w:proofErr w:type="spellEnd"/>
      <w:r w:rsidRPr="00EE60BF">
        <w:rPr>
          <w:rFonts w:ascii="Arial" w:hAnsi="Arial" w:cs="Arial"/>
          <w:sz w:val="24"/>
          <w:szCs w:val="24"/>
        </w:rPr>
        <w:t xml:space="preserve"> </w:t>
      </w:r>
      <w:proofErr w:type="spellStart"/>
      <w:r w:rsidRPr="00EE60BF">
        <w:rPr>
          <w:rFonts w:ascii="Arial" w:hAnsi="Arial" w:cs="Arial"/>
          <w:sz w:val="24"/>
          <w:szCs w:val="24"/>
        </w:rPr>
        <w:t>vyhlášky</w:t>
      </w:r>
      <w:proofErr w:type="spellEnd"/>
      <w:r w:rsidRPr="00EE60BF">
        <w:rPr>
          <w:rFonts w:ascii="Arial" w:hAnsi="Arial" w:cs="Arial"/>
          <w:sz w:val="24"/>
          <w:szCs w:val="24"/>
        </w:rPr>
        <w:t xml:space="preserve"> č. 441/2013 Sb., k ZOM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5.000; a</w:t>
      </w:r>
    </w:p>
    <w:p w14:paraId="2B51EF27" w14:textId="77777777" w:rsidR="0084634C" w:rsidRPr="00EE60BF" w:rsidRDefault="0084634C" w:rsidP="0084634C">
      <w:pPr>
        <w:pStyle w:val="Odstavecseseznamem"/>
        <w:numPr>
          <w:ilvl w:val="0"/>
          <w:numId w:val="55"/>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tržní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hodnotu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 2 </w:t>
      </w:r>
      <w:proofErr w:type="spellStart"/>
      <w:r w:rsidRPr="00EE60BF">
        <w:rPr>
          <w:rFonts w:ascii="Arial" w:hAnsi="Arial" w:cs="Arial"/>
          <w:sz w:val="24"/>
          <w:szCs w:val="24"/>
        </w:rPr>
        <w:t>odst</w:t>
      </w:r>
      <w:proofErr w:type="spellEnd"/>
      <w:r w:rsidRPr="00EE60BF">
        <w:rPr>
          <w:rFonts w:ascii="Arial" w:hAnsi="Arial" w:cs="Arial"/>
          <w:sz w:val="24"/>
          <w:szCs w:val="24"/>
        </w:rPr>
        <w:t xml:space="preserve">. 4 ZOM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znalce</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6.000.</w:t>
      </w:r>
    </w:p>
    <w:p w14:paraId="01506731" w14:textId="77777777" w:rsidR="0084634C" w:rsidRPr="00EE60BF" w:rsidRDefault="0084634C" w:rsidP="0084634C">
      <w:pPr>
        <w:pStyle w:val="Odstavecseseznamem"/>
        <w:jc w:val="both"/>
        <w:rPr>
          <w:rFonts w:ascii="Arial" w:hAnsi="Arial" w:cs="Arial"/>
          <w:sz w:val="24"/>
          <w:szCs w:val="24"/>
        </w:rPr>
      </w:pPr>
    </w:p>
    <w:p w14:paraId="049362E0" w14:textId="77777777" w:rsidR="0084634C" w:rsidRPr="00EE60BF" w:rsidRDefault="0084634C" w:rsidP="0084634C">
      <w:pPr>
        <w:pStyle w:val="Odstavecseseznamem"/>
        <w:numPr>
          <w:ilvl w:val="0"/>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fyzické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2544D4F7"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5CAABF6F" w14:textId="77777777" w:rsidR="0084634C"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ZDP se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oceňuje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xml:space="preserve">. 1 ZOM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zákon</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způsob</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oceňují</w:t>
      </w:r>
      <w:proofErr w:type="spellEnd"/>
      <w:r w:rsidRPr="00EE60BF">
        <w:rPr>
          <w:rFonts w:ascii="Arial" w:hAnsi="Arial" w:cs="Arial"/>
        </w:rPr>
        <w:t xml:space="preserve"> se </w:t>
      </w:r>
      <w:proofErr w:type="spellStart"/>
      <w:r w:rsidRPr="00EE60BF">
        <w:rPr>
          <w:rFonts w:ascii="Arial" w:hAnsi="Arial" w:cs="Arial"/>
        </w:rPr>
        <w:t>majetek</w:t>
      </w:r>
      <w:proofErr w:type="spellEnd"/>
      <w:r w:rsidRPr="00EE60BF">
        <w:rPr>
          <w:rFonts w:ascii="Arial" w:hAnsi="Arial" w:cs="Arial"/>
        </w:rPr>
        <w:t xml:space="preserve"> a </w:t>
      </w:r>
      <w:proofErr w:type="spellStart"/>
      <w:r w:rsidRPr="00EE60BF">
        <w:rPr>
          <w:rFonts w:ascii="Arial" w:hAnsi="Arial" w:cs="Arial"/>
        </w:rPr>
        <w:t>služba</w:t>
      </w:r>
      <w:proofErr w:type="spellEnd"/>
      <w:r w:rsidRPr="00EE60BF">
        <w:rPr>
          <w:rFonts w:ascii="Arial" w:hAnsi="Arial" w:cs="Arial"/>
        </w:rPr>
        <w:t xml:space="preserve"> </w:t>
      </w:r>
      <w:proofErr w:type="spellStart"/>
      <w:r w:rsidRPr="00EE60BF">
        <w:rPr>
          <w:rFonts w:ascii="Arial" w:hAnsi="Arial" w:cs="Arial"/>
        </w:rPr>
        <w:t>obvyklou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1c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vyhlášky</w:t>
      </w:r>
      <w:proofErr w:type="spellEnd"/>
      <w:r w:rsidRPr="00EE60BF">
        <w:rPr>
          <w:rFonts w:ascii="Arial" w:hAnsi="Arial" w:cs="Arial"/>
        </w:rPr>
        <w:t xml:space="preserve"> k ZOM se </w:t>
      </w:r>
      <w:proofErr w:type="spellStart"/>
      <w:r w:rsidRPr="00EE60BF">
        <w:rPr>
          <w:rFonts w:ascii="Arial" w:hAnsi="Arial" w:cs="Arial"/>
        </w:rPr>
        <w:t>spolu</w:t>
      </w:r>
      <w:proofErr w:type="spellEnd"/>
      <w:r w:rsidRPr="00EE60BF">
        <w:rPr>
          <w:rFonts w:ascii="Arial" w:hAnsi="Arial" w:cs="Arial"/>
        </w:rPr>
        <w:t xml:space="preserve"> s </w:t>
      </w:r>
      <w:proofErr w:type="spellStart"/>
      <w:r w:rsidRPr="00EE60BF">
        <w:rPr>
          <w:rFonts w:ascii="Arial" w:hAnsi="Arial" w:cs="Arial"/>
        </w:rPr>
        <w:t>určením</w:t>
      </w:r>
      <w:proofErr w:type="spellEnd"/>
      <w:r w:rsidRPr="00EE60BF">
        <w:rPr>
          <w:rFonts w:ascii="Arial" w:hAnsi="Arial" w:cs="Arial"/>
        </w:rPr>
        <w:t xml:space="preserve"> </w:t>
      </w:r>
      <w:proofErr w:type="spellStart"/>
      <w:r w:rsidRPr="00EE60BF">
        <w:rPr>
          <w:rFonts w:ascii="Arial" w:hAnsi="Arial" w:cs="Arial"/>
        </w:rPr>
        <w:t>obvyklé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nemovité</w:t>
      </w:r>
      <w:proofErr w:type="spellEnd"/>
      <w:r w:rsidRPr="00EE60BF">
        <w:rPr>
          <w:rFonts w:ascii="Arial" w:hAnsi="Arial" w:cs="Arial"/>
        </w:rPr>
        <w:t xml:space="preserve"> </w:t>
      </w:r>
      <w:proofErr w:type="spellStart"/>
      <w:r w:rsidRPr="00EE60BF">
        <w:rPr>
          <w:rFonts w:ascii="Arial" w:hAnsi="Arial" w:cs="Arial"/>
        </w:rPr>
        <w:t>věci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určí</w:t>
      </w:r>
      <w:proofErr w:type="spellEnd"/>
      <w:r w:rsidRPr="00EE60BF">
        <w:rPr>
          <w:rFonts w:ascii="Arial" w:hAnsi="Arial" w:cs="Arial"/>
        </w:rPr>
        <w:t xml:space="preserve"> i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w:t>
      </w:r>
    </w:p>
    <w:p w14:paraId="1D7EEC9E" w14:textId="77777777" w:rsidR="0084634C" w:rsidRPr="00EE60BF" w:rsidRDefault="0084634C" w:rsidP="0084634C">
      <w:pPr>
        <w:jc w:val="both"/>
        <w:rPr>
          <w:rFonts w:ascii="Arial" w:hAnsi="Arial" w:cs="Arial"/>
        </w:rPr>
      </w:pPr>
    </w:p>
    <w:p w14:paraId="294818C1"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ostatními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mj</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komplementáře</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w:t>
      </w:r>
    </w:p>
    <w:p w14:paraId="4DEA7629" w14:textId="77777777" w:rsidR="0084634C" w:rsidRDefault="0084634C" w:rsidP="0084634C">
      <w:pPr>
        <w:jc w:val="both"/>
        <w:rPr>
          <w:rFonts w:ascii="Arial" w:hAnsi="Arial" w:cs="Arial"/>
        </w:rPr>
      </w:pPr>
      <w:proofErr w:type="spellStart"/>
      <w:r w:rsidRPr="00EE60BF">
        <w:rPr>
          <w:rFonts w:ascii="Arial" w:hAnsi="Arial" w:cs="Arial"/>
        </w:rPr>
        <w:lastRenderedPageBreak/>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dílčím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-li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spojené</w:t>
      </w:r>
      <w:proofErr w:type="spellEnd"/>
      <w:r w:rsidRPr="00EE60BF">
        <w:rPr>
          <w:rFonts w:ascii="Arial" w:hAnsi="Arial" w:cs="Arial"/>
        </w:rPr>
        <w:t xml:space="preserve"> s </w:t>
      </w:r>
      <w:proofErr w:type="spellStart"/>
      <w:r w:rsidRPr="00EE60BF">
        <w:rPr>
          <w:rFonts w:ascii="Arial" w:hAnsi="Arial" w:cs="Arial"/>
        </w:rPr>
        <w:t>jednotlivým</w:t>
      </w:r>
      <w:proofErr w:type="spellEnd"/>
      <w:r w:rsidRPr="00EE60BF">
        <w:rPr>
          <w:rFonts w:ascii="Arial" w:hAnsi="Arial" w:cs="Arial"/>
        </w:rPr>
        <w:t xml:space="preserve"> </w:t>
      </w:r>
      <w:proofErr w:type="spellStart"/>
      <w:r w:rsidRPr="00EE60BF">
        <w:rPr>
          <w:rFonts w:ascii="Arial" w:hAnsi="Arial" w:cs="Arial"/>
        </w:rPr>
        <w:t>druhem</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uvedeným</w:t>
      </w:r>
      <w:proofErr w:type="spellEnd"/>
      <w:r w:rsidRPr="00EE60BF">
        <w:rPr>
          <w:rFonts w:ascii="Arial" w:hAnsi="Arial" w:cs="Arial"/>
        </w:rPr>
        <w:t xml:space="preserve"> v </w:t>
      </w:r>
      <w:proofErr w:type="spellStart"/>
      <w:r w:rsidRPr="00EE60BF">
        <w:rPr>
          <w:rFonts w:ascii="Arial" w:hAnsi="Arial" w:cs="Arial"/>
        </w:rPr>
        <w:t>odstavci</w:t>
      </w:r>
      <w:proofErr w:type="spellEnd"/>
      <w:r w:rsidRPr="00EE60BF">
        <w:rPr>
          <w:rFonts w:ascii="Arial" w:hAnsi="Arial" w:cs="Arial"/>
        </w:rPr>
        <w:t xml:space="preserve"> 1 </w:t>
      </w:r>
      <w:proofErr w:type="spellStart"/>
      <w:r w:rsidRPr="00EE60BF">
        <w:rPr>
          <w:rFonts w:ascii="Arial" w:hAnsi="Arial" w:cs="Arial"/>
        </w:rPr>
        <w:t>vyšší</w:t>
      </w:r>
      <w:proofErr w:type="spellEnd"/>
      <w:r w:rsidRPr="00EE60BF">
        <w:rPr>
          <w:rFonts w:ascii="Arial" w:hAnsi="Arial" w:cs="Arial"/>
        </w:rPr>
        <w:t xml:space="preserve"> </w:t>
      </w:r>
      <w:proofErr w:type="spellStart"/>
      <w:r w:rsidRPr="00EE60BF">
        <w:rPr>
          <w:rFonts w:ascii="Arial" w:hAnsi="Arial" w:cs="Arial"/>
        </w:rPr>
        <w:t>než</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k </w:t>
      </w:r>
      <w:proofErr w:type="spellStart"/>
      <w:r w:rsidRPr="00EE60BF">
        <w:rPr>
          <w:rFonts w:ascii="Arial" w:hAnsi="Arial" w:cs="Arial"/>
        </w:rPr>
        <w:t>rozdílu</w:t>
      </w:r>
      <w:proofErr w:type="spellEnd"/>
      <w:r w:rsidRPr="00EE60BF">
        <w:rPr>
          <w:rFonts w:ascii="Arial" w:hAnsi="Arial" w:cs="Arial"/>
        </w:rPr>
        <w:t xml:space="preserve"> se </w:t>
      </w:r>
      <w:proofErr w:type="spellStart"/>
      <w:r w:rsidRPr="00EE60BF">
        <w:rPr>
          <w:rFonts w:ascii="Arial" w:hAnsi="Arial" w:cs="Arial"/>
        </w:rPr>
        <w:t>nepřihlíží</w:t>
      </w:r>
      <w:proofErr w:type="spellEnd"/>
      <w:r w:rsidRPr="00EE60BF">
        <w:rPr>
          <w:rFonts w:ascii="Arial" w:hAnsi="Arial" w:cs="Arial"/>
        </w:rPr>
        <w:t>.</w:t>
      </w:r>
    </w:p>
    <w:p w14:paraId="36C3D8C3" w14:textId="77777777" w:rsidR="0084634C" w:rsidRPr="00EE60BF" w:rsidRDefault="0084634C" w:rsidP="0084634C">
      <w:pPr>
        <w:jc w:val="both"/>
        <w:rPr>
          <w:rFonts w:ascii="Arial" w:hAnsi="Arial" w:cs="Arial"/>
        </w:rPr>
      </w:pPr>
    </w:p>
    <w:p w14:paraId="125F90D3"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je </w:t>
      </w:r>
      <w:proofErr w:type="spellStart"/>
      <w:r w:rsidRPr="00EE60BF">
        <w:rPr>
          <w:rFonts w:ascii="Arial" w:hAnsi="Arial" w:cs="Arial"/>
        </w:rPr>
        <w:t>příjmem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zvláštního</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v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vypořádací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vypořádáván</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
    <w:p w14:paraId="7743BC46" w14:textId="77777777" w:rsidR="0084634C" w:rsidRDefault="0084634C" w:rsidP="0084634C">
      <w:pPr>
        <w:jc w:val="both"/>
        <w:rPr>
          <w:rFonts w:ascii="Arial" w:hAnsi="Arial" w:cs="Arial"/>
        </w:rPr>
      </w:pPr>
    </w:p>
    <w:p w14:paraId="7C9AD086" w14:textId="77777777" w:rsidR="0084634C" w:rsidRPr="00EE60BF" w:rsidRDefault="0084634C" w:rsidP="0084634C">
      <w:pPr>
        <w:jc w:val="both"/>
        <w:rPr>
          <w:rFonts w:ascii="Arial" w:hAnsi="Arial" w:cs="Arial"/>
        </w:rPr>
      </w:pP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a </w:t>
      </w:r>
      <w:proofErr w:type="spellStart"/>
      <w:r w:rsidRPr="00EE60BF">
        <w:rPr>
          <w:rFonts w:ascii="Arial" w:hAnsi="Arial" w:cs="Arial"/>
        </w:rPr>
        <w:t>vypořádacího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u </w:t>
      </w:r>
      <w:proofErr w:type="spellStart"/>
      <w:r w:rsidRPr="00EE60BF">
        <w:rPr>
          <w:rFonts w:ascii="Arial" w:hAnsi="Arial" w:cs="Arial"/>
        </w:rPr>
        <w:t>společníků</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komplementářů</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plynoucí</w:t>
      </w:r>
      <w:proofErr w:type="spellEnd"/>
      <w:r w:rsidRPr="00EE60BF">
        <w:rPr>
          <w:rFonts w:ascii="Arial" w:hAnsi="Arial" w:cs="Arial"/>
        </w:rPr>
        <w:t xml:space="preserve"> ze </w:t>
      </w:r>
      <w:proofErr w:type="spellStart"/>
      <w:r w:rsidRPr="00EE60BF">
        <w:rPr>
          <w:rFonts w:ascii="Arial" w:hAnsi="Arial" w:cs="Arial"/>
        </w:rPr>
        <w:t>zdrojů</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území</w:t>
      </w:r>
      <w:proofErr w:type="spellEnd"/>
      <w:r w:rsidRPr="00EE60BF">
        <w:rPr>
          <w:rFonts w:ascii="Arial" w:hAnsi="Arial" w:cs="Arial"/>
        </w:rPr>
        <w:t xml:space="preserve"> </w:t>
      </w:r>
      <w:proofErr w:type="spellStart"/>
      <w:r w:rsidRPr="00EE60BF">
        <w:rPr>
          <w:rFonts w:ascii="Arial" w:hAnsi="Arial" w:cs="Arial"/>
        </w:rPr>
        <w:t>České</w:t>
      </w:r>
      <w:proofErr w:type="spellEnd"/>
      <w:r w:rsidRPr="00EE60BF">
        <w:rPr>
          <w:rFonts w:ascii="Arial" w:hAnsi="Arial" w:cs="Arial"/>
        </w:rPr>
        <w:t xml:space="preserve"> </w:t>
      </w:r>
      <w:proofErr w:type="spellStart"/>
      <w:r w:rsidRPr="00EE60BF">
        <w:rPr>
          <w:rFonts w:ascii="Arial" w:hAnsi="Arial" w:cs="Arial"/>
        </w:rPr>
        <w:t>republiky</w:t>
      </w:r>
      <w:proofErr w:type="spellEnd"/>
      <w:r w:rsidRPr="00EE60BF">
        <w:rPr>
          <w:rFonts w:ascii="Arial" w:hAnsi="Arial" w:cs="Arial"/>
        </w:rPr>
        <w:t xml:space="preserve"> </w:t>
      </w:r>
      <w:proofErr w:type="spellStart"/>
      <w:r w:rsidRPr="00EE60BF">
        <w:rPr>
          <w:rFonts w:ascii="Arial" w:hAnsi="Arial" w:cs="Arial"/>
        </w:rPr>
        <w:t>samostatným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sazbou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b/>
          <w:bCs/>
        </w:rPr>
        <w:t>srážková</w:t>
      </w:r>
      <w:proofErr w:type="spellEnd"/>
      <w:r w:rsidRPr="00EE60BF">
        <w:rPr>
          <w:rFonts w:ascii="Arial" w:hAnsi="Arial" w:cs="Arial"/>
          <w:b/>
          <w:bCs/>
        </w:rPr>
        <w:t xml:space="preserve"> </w:t>
      </w:r>
      <w:proofErr w:type="spellStart"/>
      <w:proofErr w:type="gramStart"/>
      <w:r w:rsidRPr="00EE60BF">
        <w:rPr>
          <w:rFonts w:ascii="Arial" w:hAnsi="Arial" w:cs="Arial"/>
          <w:b/>
          <w:bCs/>
        </w:rPr>
        <w:t>daň</w:t>
      </w:r>
      <w:proofErr w:type="spellEnd"/>
      <w:r w:rsidRPr="00EE60BF">
        <w:rPr>
          <w:rFonts w:ascii="Arial" w:hAnsi="Arial" w:cs="Arial"/>
        </w:rPr>
        <w:t>“</w:t>
      </w:r>
      <w:proofErr w:type="gramEnd"/>
      <w:r w:rsidRPr="00EE60BF">
        <w:rPr>
          <w:rFonts w:ascii="Arial" w:hAnsi="Arial" w:cs="Arial"/>
        </w:rPr>
        <w:t>) (§ 36).</w:t>
      </w:r>
    </w:p>
    <w:p w14:paraId="5A3E91B3" w14:textId="77777777" w:rsidR="0084634C" w:rsidRDefault="0084634C" w:rsidP="0084634C">
      <w:pPr>
        <w:jc w:val="both"/>
        <w:rPr>
          <w:rFonts w:ascii="Arial" w:hAnsi="Arial" w:cs="Arial"/>
        </w:rPr>
      </w:pPr>
    </w:p>
    <w:p w14:paraId="2D6864F5"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činí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sazba</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pro </w:t>
      </w:r>
      <w:proofErr w:type="spellStart"/>
      <w:r w:rsidRPr="00EE60BF">
        <w:rPr>
          <w:rFonts w:ascii="Arial" w:hAnsi="Arial" w:cs="Arial"/>
        </w:rPr>
        <w:t>poplatníky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2 a § 17 15 %, a to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v </w:t>
      </w:r>
      <w:proofErr w:type="spellStart"/>
      <w:r w:rsidRPr="00EE60BF">
        <w:rPr>
          <w:rFonts w:ascii="Arial" w:hAnsi="Arial" w:cs="Arial"/>
        </w:rPr>
        <w:t>akciové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komanditisty</w:t>
      </w:r>
      <w:proofErr w:type="spellEnd"/>
      <w:r w:rsidRPr="00EE60BF">
        <w:rPr>
          <w:rFonts w:ascii="Arial" w:hAnsi="Arial" w:cs="Arial"/>
        </w:rPr>
        <w:t xml:space="preserve"> v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družstva</w:t>
      </w:r>
      <w:proofErr w:type="spellEnd"/>
      <w:r w:rsidRPr="00EE60BF">
        <w:rPr>
          <w:rFonts w:ascii="Arial" w:hAnsi="Arial" w:cs="Arial"/>
        </w:rPr>
        <w:t xml:space="preserve"> ve </w:t>
      </w:r>
      <w:proofErr w:type="spellStart"/>
      <w:r w:rsidRPr="00EE60BF">
        <w:rPr>
          <w:rFonts w:ascii="Arial" w:hAnsi="Arial" w:cs="Arial"/>
        </w:rPr>
        <w:t>družstvu</w:t>
      </w:r>
      <w:proofErr w:type="spellEnd"/>
      <w:r w:rsidRPr="00EE60BF">
        <w:rPr>
          <w:rFonts w:ascii="Arial" w:hAnsi="Arial" w:cs="Arial"/>
        </w:rPr>
        <w:t xml:space="preserve">, </w:t>
      </w:r>
      <w:proofErr w:type="spellStart"/>
      <w:r w:rsidRPr="00EE60BF">
        <w:rPr>
          <w:rFonts w:ascii="Arial" w:hAnsi="Arial" w:cs="Arial"/>
        </w:rPr>
        <w:t>sníženého</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w:t>
      </w:r>
    </w:p>
    <w:p w14:paraId="18F5D82F" w14:textId="77777777" w:rsidR="0084634C" w:rsidRDefault="0084634C" w:rsidP="0084634C">
      <w:pPr>
        <w:jc w:val="both"/>
        <w:rPr>
          <w:rFonts w:ascii="Arial" w:hAnsi="Arial" w:cs="Arial"/>
        </w:rPr>
      </w:pPr>
    </w:p>
    <w:p w14:paraId="2A733A00"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3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t>zákoně</w:t>
      </w:r>
      <w:proofErr w:type="spellEnd"/>
      <w:r w:rsidRPr="00EE60BF">
        <w:rPr>
          <w:rFonts w:ascii="Arial" w:hAnsi="Arial" w:cs="Arial"/>
        </w:rPr>
        <w:t xml:space="preserve"> </w:t>
      </w:r>
      <w:proofErr w:type="spellStart"/>
      <w:r w:rsidRPr="00EE60BF">
        <w:rPr>
          <w:rFonts w:ascii="Arial" w:hAnsi="Arial" w:cs="Arial"/>
        </w:rPr>
        <w:t>není</w:t>
      </w:r>
      <w:proofErr w:type="spellEnd"/>
      <w:r w:rsidRPr="00EE60BF">
        <w:rPr>
          <w:rFonts w:ascii="Arial" w:hAnsi="Arial" w:cs="Arial"/>
        </w:rPr>
        <w:t xml:space="preserve"> </w:t>
      </w:r>
      <w:proofErr w:type="spellStart"/>
      <w:r w:rsidRPr="00EE60BF">
        <w:rPr>
          <w:rFonts w:ascii="Arial" w:hAnsi="Arial" w:cs="Arial"/>
        </w:rPr>
        <w:t>stanoveno</w:t>
      </w:r>
      <w:proofErr w:type="spellEnd"/>
      <w:r w:rsidRPr="00EE60BF">
        <w:rPr>
          <w:rFonts w:ascii="Arial" w:hAnsi="Arial" w:cs="Arial"/>
        </w:rPr>
        <w:t xml:space="preserve"> </w:t>
      </w:r>
      <w:proofErr w:type="spellStart"/>
      <w:r w:rsidRPr="00EE60BF">
        <w:rPr>
          <w:rFonts w:ascii="Arial" w:hAnsi="Arial" w:cs="Arial"/>
        </w:rPr>
        <w:t>jinak</w:t>
      </w:r>
      <w:proofErr w:type="spellEnd"/>
      <w:r w:rsidRPr="00EE60BF">
        <w:rPr>
          <w:rFonts w:ascii="Arial" w:hAnsi="Arial" w:cs="Arial"/>
        </w:rPr>
        <w:t>.</w:t>
      </w:r>
    </w:p>
    <w:p w14:paraId="2184CAF3" w14:textId="77777777" w:rsidR="0084634C" w:rsidRDefault="0084634C" w:rsidP="0084634C">
      <w:pPr>
        <w:pStyle w:val="Odstavecseseznamem"/>
        <w:spacing w:after="160" w:line="259" w:lineRule="auto"/>
        <w:ind w:left="567"/>
        <w:contextualSpacing/>
        <w:rPr>
          <w:rFonts w:ascii="Arial" w:hAnsi="Arial" w:cs="Arial"/>
          <w:b/>
          <w:bCs/>
          <w:sz w:val="24"/>
          <w:szCs w:val="24"/>
        </w:rPr>
      </w:pPr>
    </w:p>
    <w:p w14:paraId="7E6A818C"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p>
    <w:p w14:paraId="56F8DDAE" w14:textId="77777777" w:rsidR="0084634C" w:rsidRPr="00EE60BF" w:rsidRDefault="0084634C" w:rsidP="0084634C">
      <w:pPr>
        <w:jc w:val="both"/>
        <w:rPr>
          <w:rFonts w:ascii="Arial" w:hAnsi="Arial" w:cs="Arial"/>
        </w:rPr>
      </w:pPr>
      <w:r w:rsidRPr="00EE60BF">
        <w:rPr>
          <w:rFonts w:ascii="Arial" w:hAnsi="Arial" w:cs="Arial"/>
        </w:rPr>
        <w:t>Z </w:t>
      </w:r>
      <w:proofErr w:type="spellStart"/>
      <w:r w:rsidRPr="00EE60BF">
        <w:rPr>
          <w:rFonts w:ascii="Arial" w:hAnsi="Arial" w:cs="Arial"/>
        </w:rPr>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celý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z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Z toho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o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w:t>
      </w:r>
    </w:p>
    <w:p w14:paraId="245D45F0" w14:textId="77777777" w:rsidR="0084634C" w:rsidRDefault="0084634C" w:rsidP="0084634C">
      <w:pPr>
        <w:jc w:val="both"/>
        <w:rPr>
          <w:rFonts w:ascii="Arial" w:hAnsi="Arial" w:cs="Arial"/>
        </w:rPr>
      </w:pPr>
    </w:p>
    <w:p w14:paraId="2950C6FB" w14:textId="77777777" w:rsidR="0084634C" w:rsidRPr="00EE60BF" w:rsidRDefault="0084634C" w:rsidP="0084634C">
      <w:pPr>
        <w:jc w:val="both"/>
        <w:rPr>
          <w:rFonts w:ascii="Arial" w:hAnsi="Arial" w:cs="Arial"/>
        </w:rPr>
      </w:pPr>
      <w:r w:rsidRPr="00EE60BF">
        <w:rPr>
          <w:rFonts w:ascii="Arial" w:hAnsi="Arial" w:cs="Arial"/>
        </w:rPr>
        <w:t>Z </w:t>
      </w:r>
      <w:proofErr w:type="spellStart"/>
      <w:r w:rsidRPr="00EE60BF">
        <w:rPr>
          <w:rFonts w:ascii="Arial" w:hAnsi="Arial" w:cs="Arial"/>
        </w:rPr>
        <w:t>úpravy</w:t>
      </w:r>
      <w:proofErr w:type="spellEnd"/>
      <w:r w:rsidRPr="00EE60BF">
        <w:rPr>
          <w:rFonts w:ascii="Arial" w:hAnsi="Arial" w:cs="Arial"/>
        </w:rPr>
        <w:t xml:space="preserve"> v § 36 ZDP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vyplácený</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osobě</w:t>
      </w:r>
      <w:proofErr w:type="spellEnd"/>
      <w:r w:rsidRPr="00EE60BF">
        <w:rPr>
          <w:rFonts w:ascii="Arial" w:hAnsi="Arial" w:cs="Arial"/>
        </w:rPr>
        <w:t xml:space="preserve">, </w:t>
      </w:r>
      <w:proofErr w:type="spellStart"/>
      <w:r w:rsidRPr="00EE60BF">
        <w:rPr>
          <w:rFonts w:ascii="Arial" w:hAnsi="Arial" w:cs="Arial"/>
        </w:rPr>
        <w:t>českému</w:t>
      </w:r>
      <w:proofErr w:type="spellEnd"/>
      <w:r w:rsidRPr="00EE60BF">
        <w:rPr>
          <w:rFonts w:ascii="Arial" w:hAnsi="Arial" w:cs="Arial"/>
        </w:rPr>
        <w:t xml:space="preserve"> </w:t>
      </w:r>
      <w:proofErr w:type="spellStart"/>
      <w:r w:rsidRPr="00EE60BF">
        <w:rPr>
          <w:rFonts w:ascii="Arial" w:hAnsi="Arial" w:cs="Arial"/>
        </w:rPr>
        <w:t>daňovému</w:t>
      </w:r>
      <w:proofErr w:type="spellEnd"/>
      <w:r w:rsidRPr="00EE60BF">
        <w:rPr>
          <w:rFonts w:ascii="Arial" w:hAnsi="Arial" w:cs="Arial"/>
        </w:rPr>
        <w:t xml:space="preserve"> </w:t>
      </w:r>
      <w:proofErr w:type="spellStart"/>
      <w:r w:rsidRPr="00EE60BF">
        <w:rPr>
          <w:rFonts w:ascii="Arial" w:hAnsi="Arial" w:cs="Arial"/>
        </w:rPr>
        <w:t>rezidentovi</w:t>
      </w:r>
      <w:proofErr w:type="spellEnd"/>
      <w:r w:rsidRPr="00EE60BF">
        <w:rPr>
          <w:rFonts w:ascii="Arial" w:hAnsi="Arial" w:cs="Arial"/>
        </w:rPr>
        <w:t xml:space="preserve">, </w:t>
      </w:r>
      <w:proofErr w:type="spellStart"/>
      <w:r w:rsidRPr="00EE60BF">
        <w:rPr>
          <w:rFonts w:ascii="Arial" w:hAnsi="Arial" w:cs="Arial"/>
        </w:rPr>
        <w:t>podléhá</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w:t>
      </w:r>
      <w:proofErr w:type="spellStart"/>
      <w:r w:rsidRPr="00EE60BF">
        <w:rPr>
          <w:rFonts w:ascii="Arial" w:hAnsi="Arial" w:cs="Arial"/>
        </w:rPr>
        <w:t>která</w:t>
      </w:r>
      <w:proofErr w:type="spellEnd"/>
      <w:r w:rsidRPr="00EE60BF">
        <w:rPr>
          <w:rFonts w:ascii="Arial" w:hAnsi="Arial" w:cs="Arial"/>
        </w:rPr>
        <w:t xml:space="preserve"> se ve </w:t>
      </w:r>
      <w:proofErr w:type="spellStart"/>
      <w:r w:rsidRPr="00EE60BF">
        <w:rPr>
          <w:rFonts w:ascii="Arial" w:hAnsi="Arial" w:cs="Arial"/>
        </w:rPr>
        <w:t>smyslu</w:t>
      </w:r>
      <w:proofErr w:type="spellEnd"/>
      <w:r w:rsidRPr="00EE60BF">
        <w:rPr>
          <w:rFonts w:ascii="Arial" w:hAnsi="Arial" w:cs="Arial"/>
        </w:rPr>
        <w:t xml:space="preserve"> § 38d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vybírá</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V § 36 ZDP je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je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je </w:t>
      </w:r>
      <w:proofErr w:type="spellStart"/>
      <w:r w:rsidRPr="00EE60BF">
        <w:rPr>
          <w:rFonts w:ascii="Arial" w:hAnsi="Arial" w:cs="Arial"/>
        </w:rPr>
        <w:t>nepochybně</w:t>
      </w:r>
      <w:proofErr w:type="spellEnd"/>
      <w:r w:rsidRPr="00EE60BF">
        <w:rPr>
          <w:rFonts w:ascii="Arial" w:hAnsi="Arial" w:cs="Arial"/>
        </w:rPr>
        <w:t xml:space="preserve"> </w:t>
      </w:r>
      <w:proofErr w:type="spellStart"/>
      <w:r w:rsidRPr="00EE60BF">
        <w:rPr>
          <w:rFonts w:ascii="Arial" w:hAnsi="Arial" w:cs="Arial"/>
        </w:rPr>
        <w:t>myšlena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ZDP </w:t>
      </w:r>
      <w:proofErr w:type="spellStart"/>
      <w:r w:rsidRPr="00EE60BF">
        <w:rPr>
          <w:rFonts w:ascii="Arial" w:hAnsi="Arial" w:cs="Arial"/>
        </w:rPr>
        <w:t>obsahuje</w:t>
      </w:r>
      <w:proofErr w:type="spellEnd"/>
      <w:r w:rsidRPr="00EE60BF">
        <w:rPr>
          <w:rFonts w:ascii="Arial" w:hAnsi="Arial" w:cs="Arial"/>
        </w:rPr>
        <w:t xml:space="preserve"> </w:t>
      </w:r>
      <w:proofErr w:type="spellStart"/>
      <w:r w:rsidRPr="00EE60BF">
        <w:rPr>
          <w:rFonts w:ascii="Arial" w:hAnsi="Arial" w:cs="Arial"/>
        </w:rPr>
        <w:t>samostatnou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 24 </w:t>
      </w:r>
      <w:proofErr w:type="spellStart"/>
      <w:r w:rsidRPr="00EE60BF">
        <w:rPr>
          <w:rFonts w:ascii="Arial" w:hAnsi="Arial" w:cs="Arial"/>
        </w:rPr>
        <w:t>odst</w:t>
      </w:r>
      <w:proofErr w:type="spellEnd"/>
      <w:r w:rsidRPr="00EE60BF">
        <w:rPr>
          <w:rFonts w:ascii="Arial" w:hAnsi="Arial" w:cs="Arial"/>
        </w:rPr>
        <w:t xml:space="preserve">. 7 ZDP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se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v </w:t>
      </w:r>
      <w:proofErr w:type="spellStart"/>
      <w:r w:rsidRPr="00EE60BF">
        <w:rPr>
          <w:rFonts w:ascii="Arial" w:hAnsi="Arial" w:cs="Arial"/>
        </w:rPr>
        <w:t>případech</w:t>
      </w:r>
      <w:proofErr w:type="spellEnd"/>
      <w:r w:rsidRPr="00EE60BF">
        <w:rPr>
          <w:rFonts w:ascii="Arial" w:hAnsi="Arial" w:cs="Arial"/>
        </w:rPr>
        <w:t xml:space="preserve">, </w:t>
      </w:r>
      <w:proofErr w:type="spellStart"/>
      <w:r w:rsidRPr="00EE60BF">
        <w:rPr>
          <w:rFonts w:ascii="Arial" w:hAnsi="Arial" w:cs="Arial"/>
        </w:rPr>
        <w:t>které</w:t>
      </w:r>
      <w:proofErr w:type="spellEnd"/>
      <w:r w:rsidRPr="00EE60BF">
        <w:rPr>
          <w:rFonts w:ascii="Arial" w:hAnsi="Arial" w:cs="Arial"/>
        </w:rPr>
        <w:t xml:space="preserve"> ZDP </w:t>
      </w:r>
      <w:proofErr w:type="spellStart"/>
      <w:r w:rsidRPr="00EE60BF">
        <w:rPr>
          <w:rFonts w:ascii="Arial" w:hAnsi="Arial" w:cs="Arial"/>
        </w:rPr>
        <w:t>specificky</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w:t>
      </w:r>
    </w:p>
    <w:p w14:paraId="1AEE46E7" w14:textId="77777777" w:rsidR="0084634C" w:rsidRDefault="0084634C" w:rsidP="0084634C">
      <w:pPr>
        <w:jc w:val="both"/>
        <w:rPr>
          <w:rFonts w:ascii="Arial" w:hAnsi="Arial" w:cs="Arial"/>
        </w:rPr>
      </w:pPr>
    </w:p>
    <w:p w14:paraId="4222DCD7" w14:textId="77777777" w:rsidR="0084634C" w:rsidRPr="00EE60BF" w:rsidRDefault="0084634C" w:rsidP="0084634C">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ZDP </w:t>
      </w:r>
      <w:proofErr w:type="spellStart"/>
      <w:r w:rsidRPr="00EE60BF">
        <w:rPr>
          <w:rFonts w:ascii="Arial" w:hAnsi="Arial" w:cs="Arial"/>
        </w:rPr>
        <w:t>blíže</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co se </w:t>
      </w:r>
      <w:proofErr w:type="spellStart"/>
      <w:r w:rsidRPr="00EE60BF">
        <w:rPr>
          <w:rFonts w:ascii="Arial" w:hAnsi="Arial" w:cs="Arial"/>
        </w:rPr>
        <w:t>myslí</w:t>
      </w:r>
      <w:proofErr w:type="spellEnd"/>
      <w:r w:rsidRPr="00EE60BF">
        <w:rPr>
          <w:rFonts w:ascii="Arial" w:hAnsi="Arial" w:cs="Arial"/>
        </w:rPr>
        <w:t xml:space="preserve"> </w:t>
      </w:r>
      <w:proofErr w:type="spellStart"/>
      <w:r w:rsidRPr="00EE60BF">
        <w:rPr>
          <w:rFonts w:ascii="Arial" w:hAnsi="Arial" w:cs="Arial"/>
        </w:rPr>
        <w:t>pojmem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ZDP </w:t>
      </w:r>
      <w:proofErr w:type="spellStart"/>
      <w:r w:rsidRPr="00EE60BF">
        <w:rPr>
          <w:rFonts w:ascii="Arial" w:hAnsi="Arial" w:cs="Arial"/>
        </w:rPr>
        <w:t>pojem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w:t>
      </w:r>
      <w:r>
        <w:rPr>
          <w:rFonts w:ascii="Arial" w:hAnsi="Arial" w:cs="Arial"/>
        </w:rPr>
        <w:t xml:space="preserve"> </w:t>
      </w:r>
      <w:proofErr w:type="spellStart"/>
      <w:r w:rsidRPr="00EE60BF">
        <w:rPr>
          <w:rFonts w:ascii="Arial" w:hAnsi="Arial" w:cs="Arial"/>
        </w:rPr>
        <w:t>nedefinuje</w:t>
      </w:r>
      <w:proofErr w:type="spellEnd"/>
      <w:proofErr w:type="gram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významu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a za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w:t>
      </w:r>
      <w:proofErr w:type="spellStart"/>
      <w:r w:rsidRPr="00EE60BF">
        <w:rPr>
          <w:rFonts w:ascii="Arial" w:hAnsi="Arial" w:cs="Arial"/>
        </w:rPr>
        <w:t>reálné</w:t>
      </w:r>
      <w:proofErr w:type="spellEnd"/>
      <w:r w:rsidRPr="00EE60BF">
        <w:rPr>
          <w:rFonts w:ascii="Arial" w:hAnsi="Arial" w:cs="Arial"/>
        </w:rPr>
        <w:t xml:space="preserve"> </w:t>
      </w:r>
      <w:proofErr w:type="spellStart"/>
      <w:r w:rsidRPr="00EE60BF">
        <w:rPr>
          <w:rFonts w:ascii="Arial" w:hAnsi="Arial" w:cs="Arial"/>
        </w:rPr>
        <w:t>zhodnocení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Vzhledem</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se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vždy</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tato</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4 ZOM.</w:t>
      </w:r>
    </w:p>
    <w:p w14:paraId="4E7F048A" w14:textId="77777777" w:rsidR="0084634C" w:rsidRDefault="0084634C" w:rsidP="0084634C">
      <w:pPr>
        <w:jc w:val="both"/>
        <w:rPr>
          <w:rFonts w:ascii="Arial" w:hAnsi="Arial" w:cs="Arial"/>
        </w:rPr>
      </w:pPr>
    </w:p>
    <w:p w14:paraId="79DDF334" w14:textId="77777777" w:rsidR="0084634C" w:rsidRPr="00EE60BF" w:rsidRDefault="0084634C" w:rsidP="0084634C">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zdanitelný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hodnotu</w:t>
      </w:r>
      <w:proofErr w:type="spellEnd"/>
      <w:r w:rsidRPr="00EE60BF">
        <w:rPr>
          <w:rFonts w:ascii="Arial" w:hAnsi="Arial" w:cs="Arial"/>
        </w:rPr>
        <w:t xml:space="preserve"> 5.000,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to, </w:t>
      </w:r>
      <w:proofErr w:type="spellStart"/>
      <w:r w:rsidRPr="00EE60BF">
        <w:rPr>
          <w:rFonts w:ascii="Arial" w:hAnsi="Arial" w:cs="Arial"/>
        </w:rPr>
        <w:t>jakým</w:t>
      </w:r>
      <w:proofErr w:type="spellEnd"/>
      <w:r w:rsidRPr="00EE60BF">
        <w:rPr>
          <w:rFonts w:ascii="Arial" w:hAnsi="Arial" w:cs="Arial"/>
        </w:rPr>
        <w:t xml:space="preserve"> </w:t>
      </w:r>
      <w:proofErr w:type="spellStart"/>
      <w:r w:rsidRPr="00EE60BF">
        <w:rPr>
          <w:rFonts w:ascii="Arial" w:hAnsi="Arial" w:cs="Arial"/>
        </w:rPr>
        <w:t>způsobem</w:t>
      </w:r>
      <w:proofErr w:type="spellEnd"/>
      <w:r w:rsidRPr="00EE60BF">
        <w:rPr>
          <w:rFonts w:ascii="Arial" w:hAnsi="Arial" w:cs="Arial"/>
        </w:rPr>
        <w:t xml:space="preserve"> je pro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získaný</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hospodářsky</w:t>
      </w:r>
      <w:proofErr w:type="spellEnd"/>
      <w:r w:rsidRPr="00EE60BF">
        <w:rPr>
          <w:rFonts w:ascii="Arial" w:hAnsi="Arial" w:cs="Arial"/>
        </w:rPr>
        <w:t xml:space="preserve"> </w:t>
      </w:r>
      <w:proofErr w:type="spellStart"/>
      <w:r w:rsidRPr="00EE60BF">
        <w:rPr>
          <w:rFonts w:ascii="Arial" w:hAnsi="Arial" w:cs="Arial"/>
        </w:rPr>
        <w:t>využitelný</w:t>
      </w:r>
      <w:proofErr w:type="spellEnd"/>
      <w:r w:rsidRPr="00EE60BF">
        <w:rPr>
          <w:rFonts w:ascii="Arial" w:hAnsi="Arial" w:cs="Arial"/>
        </w:rPr>
        <w:t>.</w:t>
      </w:r>
    </w:p>
    <w:p w14:paraId="52C80042" w14:textId="77777777" w:rsidR="0084634C" w:rsidRPr="00EE60BF" w:rsidRDefault="0084634C" w:rsidP="0084634C">
      <w:pPr>
        <w:jc w:val="both"/>
        <w:rPr>
          <w:rFonts w:ascii="Arial" w:hAnsi="Arial" w:cs="Arial"/>
        </w:rPr>
      </w:pPr>
      <w:proofErr w:type="spellStart"/>
      <w:r w:rsidRPr="00EE60BF">
        <w:rPr>
          <w:rFonts w:ascii="Arial" w:hAnsi="Arial" w:cs="Arial"/>
        </w:rPr>
        <w:lastRenderedPageBreak/>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sníží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o </w:t>
      </w:r>
      <w:proofErr w:type="spellStart"/>
      <w:r w:rsidRPr="00EE60BF">
        <w:rPr>
          <w:rFonts w:ascii="Arial" w:hAnsi="Arial" w:cs="Arial"/>
        </w:rPr>
        <w:t>hodnotu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kterému</w:t>
      </w:r>
      <w:proofErr w:type="spellEnd"/>
      <w:r w:rsidRPr="00EE60BF">
        <w:rPr>
          <w:rFonts w:ascii="Arial" w:hAnsi="Arial" w:cs="Arial"/>
        </w:rPr>
        <w:t xml:space="preserve">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vyplácet</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nemá</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možnost</w:t>
      </w:r>
      <w:proofErr w:type="spellEnd"/>
      <w:r w:rsidRPr="00EE60BF">
        <w:rPr>
          <w:rFonts w:ascii="Arial" w:hAnsi="Arial" w:cs="Arial"/>
        </w:rPr>
        <w:t xml:space="preserve"> </w:t>
      </w:r>
      <w:proofErr w:type="spellStart"/>
      <w:r w:rsidRPr="00EE60BF">
        <w:rPr>
          <w:rFonts w:ascii="Arial" w:hAnsi="Arial" w:cs="Arial"/>
        </w:rPr>
        <w:t>vést</w:t>
      </w:r>
      <w:proofErr w:type="spellEnd"/>
      <w:r w:rsidRPr="00EE60BF">
        <w:rPr>
          <w:rFonts w:ascii="Arial" w:hAnsi="Arial" w:cs="Arial"/>
        </w:rPr>
        <w:t xml:space="preserve"> </w:t>
      </w:r>
      <w:proofErr w:type="spellStart"/>
      <w:r w:rsidRPr="00EE60BF">
        <w:rPr>
          <w:rFonts w:ascii="Arial" w:hAnsi="Arial" w:cs="Arial"/>
        </w:rPr>
        <w:t>standardní</w:t>
      </w:r>
      <w:proofErr w:type="spellEnd"/>
      <w:r w:rsidRPr="00EE60BF">
        <w:rPr>
          <w:rFonts w:ascii="Arial" w:hAnsi="Arial" w:cs="Arial"/>
        </w:rPr>
        <w:t xml:space="preserve"> </w:t>
      </w:r>
      <w:proofErr w:type="spellStart"/>
      <w:r w:rsidRPr="00EE60BF">
        <w:rPr>
          <w:rFonts w:ascii="Arial" w:hAnsi="Arial" w:cs="Arial"/>
        </w:rPr>
        <w:t>důkazní</w:t>
      </w:r>
      <w:proofErr w:type="spellEnd"/>
      <w:r w:rsidRPr="00EE60BF">
        <w:rPr>
          <w:rFonts w:ascii="Arial" w:hAnsi="Arial" w:cs="Arial"/>
        </w:rPr>
        <w:t xml:space="preserve"> </w:t>
      </w:r>
      <w:proofErr w:type="spellStart"/>
      <w:r w:rsidRPr="00EE60BF">
        <w:rPr>
          <w:rFonts w:ascii="Arial" w:hAnsi="Arial" w:cs="Arial"/>
        </w:rPr>
        <w:t>řízení</w:t>
      </w:r>
      <w:proofErr w:type="spellEnd"/>
      <w:r w:rsidRPr="00EE60BF">
        <w:rPr>
          <w:rFonts w:ascii="Arial" w:hAnsi="Arial" w:cs="Arial"/>
        </w:rPr>
        <w:t xml:space="preserve"> </w:t>
      </w:r>
      <w:proofErr w:type="spellStart"/>
      <w:r w:rsidRPr="00EE60BF">
        <w:rPr>
          <w:rFonts w:ascii="Arial" w:hAnsi="Arial" w:cs="Arial"/>
        </w:rPr>
        <w:t>ohledně</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a proto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informace</w:t>
      </w:r>
      <w:proofErr w:type="spellEnd"/>
      <w:r w:rsidRPr="00EE60BF">
        <w:rPr>
          <w:rFonts w:ascii="Arial" w:hAnsi="Arial" w:cs="Arial"/>
        </w:rPr>
        <w:t xml:space="preserve">, </w:t>
      </w:r>
      <w:proofErr w:type="spellStart"/>
      <w:r w:rsidRPr="00EE60BF">
        <w:rPr>
          <w:rFonts w:ascii="Arial" w:hAnsi="Arial" w:cs="Arial"/>
        </w:rPr>
        <w:t>kterou</w:t>
      </w:r>
      <w:proofErr w:type="spellEnd"/>
      <w:r w:rsidRPr="00EE60BF">
        <w:rPr>
          <w:rFonts w:ascii="Arial" w:hAnsi="Arial" w:cs="Arial"/>
        </w:rPr>
        <w:t xml:space="preserve"> </w:t>
      </w:r>
      <w:proofErr w:type="spellStart"/>
      <w:r w:rsidRPr="00EE60BF">
        <w:rPr>
          <w:rFonts w:ascii="Arial" w:hAnsi="Arial" w:cs="Arial"/>
        </w:rPr>
        <w:t>obdrží</w:t>
      </w:r>
      <w:proofErr w:type="spellEnd"/>
      <w:r w:rsidRPr="00EE60BF">
        <w:rPr>
          <w:rFonts w:ascii="Arial" w:hAnsi="Arial" w:cs="Arial"/>
        </w:rPr>
        <w:t xml:space="preserve"> v </w:t>
      </w:r>
      <w:proofErr w:type="spellStart"/>
      <w:r w:rsidRPr="00EE60BF">
        <w:rPr>
          <w:rFonts w:ascii="Arial" w:hAnsi="Arial" w:cs="Arial"/>
        </w:rPr>
        <w:t>dobré</w:t>
      </w:r>
      <w:proofErr w:type="spellEnd"/>
      <w:r w:rsidRPr="00EE60BF">
        <w:rPr>
          <w:rFonts w:ascii="Arial" w:hAnsi="Arial" w:cs="Arial"/>
        </w:rPr>
        <w:t xml:space="preserve"> </w:t>
      </w:r>
      <w:proofErr w:type="spellStart"/>
      <w:r w:rsidRPr="00EE60BF">
        <w:rPr>
          <w:rFonts w:ascii="Arial" w:hAnsi="Arial" w:cs="Arial"/>
        </w:rPr>
        <w:t>víře</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I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poskytne</w:t>
      </w:r>
      <w:proofErr w:type="spellEnd"/>
      <w:r w:rsidRPr="00EE60BF">
        <w:rPr>
          <w:rFonts w:ascii="Arial" w:hAnsi="Arial" w:cs="Arial"/>
        </w:rPr>
        <w:t xml:space="preserve"> </w:t>
      </w:r>
      <w:proofErr w:type="spellStart"/>
      <w:r w:rsidRPr="00EE60BF">
        <w:rPr>
          <w:rFonts w:ascii="Arial" w:hAnsi="Arial" w:cs="Arial"/>
        </w:rPr>
        <w:t>nesprávnou</w:t>
      </w:r>
      <w:proofErr w:type="spellEnd"/>
      <w:r w:rsidRPr="00EE60BF">
        <w:rPr>
          <w:rFonts w:ascii="Arial" w:hAnsi="Arial" w:cs="Arial"/>
        </w:rPr>
        <w:t xml:space="preserve"> </w:t>
      </w:r>
      <w:proofErr w:type="spellStart"/>
      <w:r w:rsidRPr="00EE60BF">
        <w:rPr>
          <w:rFonts w:ascii="Arial" w:hAnsi="Arial" w:cs="Arial"/>
        </w:rPr>
        <w:t>informaci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břemeno</w:t>
      </w:r>
      <w:proofErr w:type="spellEnd"/>
      <w:r w:rsidRPr="00EE60BF">
        <w:rPr>
          <w:rFonts w:ascii="Arial" w:hAnsi="Arial" w:cs="Arial"/>
        </w:rPr>
        <w:t xml:space="preserve"> </w:t>
      </w:r>
      <w:proofErr w:type="spellStart"/>
      <w:r w:rsidRPr="00EE60BF">
        <w:rPr>
          <w:rFonts w:ascii="Arial" w:hAnsi="Arial" w:cs="Arial"/>
        </w:rPr>
        <w:t>stíhá</w:t>
      </w:r>
      <w:proofErr w:type="spellEnd"/>
      <w:r w:rsidRPr="00EE60BF">
        <w:rPr>
          <w:rFonts w:ascii="Arial" w:hAnsi="Arial" w:cs="Arial"/>
        </w:rPr>
        <w:t xml:space="preserve"> </w:t>
      </w:r>
      <w:proofErr w:type="spellStart"/>
      <w:r w:rsidRPr="00EE60BF">
        <w:rPr>
          <w:rFonts w:ascii="Arial" w:hAnsi="Arial" w:cs="Arial"/>
        </w:rPr>
        <w:t>výlučně</w:t>
      </w:r>
      <w:proofErr w:type="spellEnd"/>
      <w:r w:rsidRPr="00EE60BF">
        <w:rPr>
          <w:rFonts w:ascii="Arial" w:hAnsi="Arial" w:cs="Arial"/>
        </w:rPr>
        <w:t xml:space="preserve"> </w:t>
      </w:r>
      <w:proofErr w:type="spellStart"/>
      <w:r w:rsidRPr="00EE60BF">
        <w:rPr>
          <w:rFonts w:ascii="Arial" w:hAnsi="Arial" w:cs="Arial"/>
        </w:rPr>
        <w:t>likvidovanou</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která</w:t>
      </w:r>
      <w:proofErr w:type="spellEnd"/>
      <w:r w:rsidRPr="00EE60BF">
        <w:rPr>
          <w:rFonts w:ascii="Arial" w:hAnsi="Arial" w:cs="Arial"/>
        </w:rPr>
        <w:t xml:space="preserve"> </w:t>
      </w:r>
      <w:proofErr w:type="spellStart"/>
      <w:r w:rsidRPr="00EE60BF">
        <w:rPr>
          <w:rFonts w:ascii="Arial" w:hAnsi="Arial" w:cs="Arial"/>
        </w:rPr>
        <w:t>může</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sekundární</w:t>
      </w:r>
      <w:proofErr w:type="spellEnd"/>
      <w:r w:rsidRPr="00EE60BF">
        <w:rPr>
          <w:rFonts w:ascii="Arial" w:hAnsi="Arial" w:cs="Arial"/>
        </w:rPr>
        <w:t xml:space="preserve"> </w:t>
      </w:r>
      <w:proofErr w:type="spellStart"/>
      <w:r w:rsidRPr="00EE60BF">
        <w:rPr>
          <w:rFonts w:ascii="Arial" w:hAnsi="Arial" w:cs="Arial"/>
        </w:rPr>
        <w:t>nárok</w:t>
      </w:r>
      <w:proofErr w:type="spellEnd"/>
      <w:r w:rsidRPr="00EE60BF">
        <w:rPr>
          <w:rFonts w:ascii="Arial" w:hAnsi="Arial" w:cs="Arial"/>
        </w:rPr>
        <w:t xml:space="preserve"> </w:t>
      </w:r>
      <w:proofErr w:type="spellStart"/>
      <w:r w:rsidRPr="00EE60BF">
        <w:rPr>
          <w:rFonts w:ascii="Arial" w:hAnsi="Arial" w:cs="Arial"/>
        </w:rPr>
        <w:t>vůči</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w:t>
      </w:r>
    </w:p>
    <w:p w14:paraId="5DBED33E" w14:textId="77777777" w:rsidR="0084634C" w:rsidRDefault="0084634C" w:rsidP="0084634C">
      <w:pPr>
        <w:jc w:val="both"/>
        <w:rPr>
          <w:rFonts w:ascii="Arial" w:hAnsi="Arial" w:cs="Arial"/>
        </w:rPr>
      </w:pPr>
    </w:p>
    <w:p w14:paraId="7CBAE79B" w14:textId="77777777" w:rsidR="0084634C" w:rsidRDefault="0084634C" w:rsidP="0084634C">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určená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je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je 3.000, </w:t>
      </w:r>
      <w:proofErr w:type="spellStart"/>
      <w:r w:rsidRPr="00EE60BF">
        <w:rPr>
          <w:rFonts w:ascii="Arial" w:hAnsi="Arial" w:cs="Arial"/>
        </w:rPr>
        <w:t>pak</w:t>
      </w:r>
      <w:proofErr w:type="spellEnd"/>
      <w:r w:rsidRPr="00EE60BF">
        <w:rPr>
          <w:rFonts w:ascii="Arial" w:hAnsi="Arial" w:cs="Arial"/>
        </w:rPr>
        <w:t xml:space="preserve"> je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5.000 – 3.000,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je 300. </w:t>
      </w:r>
    </w:p>
    <w:p w14:paraId="29542FB4" w14:textId="77777777" w:rsidR="0084634C" w:rsidRPr="00EE60BF" w:rsidRDefault="0084634C" w:rsidP="0084634C">
      <w:pPr>
        <w:jc w:val="both"/>
        <w:rPr>
          <w:rFonts w:ascii="Arial" w:hAnsi="Arial" w:cs="Arial"/>
        </w:rPr>
      </w:pPr>
    </w:p>
    <w:p w14:paraId="1DB6D2C0"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p>
    <w:p w14:paraId="09BFD8BC"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Toto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odpovídá</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36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v </w:t>
      </w:r>
      <w:proofErr w:type="spellStart"/>
      <w:r w:rsidRPr="00EE60BF">
        <w:rPr>
          <w:rFonts w:ascii="Arial" w:hAnsi="Arial" w:cs="Arial"/>
        </w:rPr>
        <w:t>pozici</w:t>
      </w:r>
      <w:proofErr w:type="spellEnd"/>
      <w:r w:rsidRPr="00EE60BF">
        <w:rPr>
          <w:rFonts w:ascii="Arial" w:hAnsi="Arial" w:cs="Arial"/>
        </w:rPr>
        <w:t xml:space="preserve"> </w:t>
      </w:r>
      <w:proofErr w:type="spellStart"/>
      <w:r w:rsidRPr="00EE60BF">
        <w:rPr>
          <w:rFonts w:ascii="Arial" w:hAnsi="Arial" w:cs="Arial"/>
        </w:rPr>
        <w:t>plátce</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sráží</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nevstupuje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ve </w:t>
      </w:r>
      <w:proofErr w:type="spellStart"/>
      <w:r w:rsidRPr="00EE60BF">
        <w:rPr>
          <w:rFonts w:ascii="Arial" w:hAnsi="Arial" w:cs="Arial"/>
        </w:rPr>
        <w:t>smyslu</w:t>
      </w:r>
      <w:proofErr w:type="spellEnd"/>
      <w:r w:rsidRPr="00EE60BF">
        <w:rPr>
          <w:rFonts w:ascii="Arial" w:hAnsi="Arial" w:cs="Arial"/>
        </w:rPr>
        <w:t xml:space="preserve"> § 38g </w:t>
      </w:r>
      <w:proofErr w:type="spellStart"/>
      <w:r w:rsidRPr="00EE60BF">
        <w:rPr>
          <w:rFonts w:ascii="Arial" w:hAnsi="Arial" w:cs="Arial"/>
        </w:rPr>
        <w:t>odst</w:t>
      </w:r>
      <w:proofErr w:type="spellEnd"/>
      <w:r w:rsidRPr="00EE60BF">
        <w:rPr>
          <w:rFonts w:ascii="Arial" w:hAnsi="Arial" w:cs="Arial"/>
        </w:rPr>
        <w:t xml:space="preserve">. ZDP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Nicméně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bod 1 ZDP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w:t>
      </w:r>
      <w:proofErr w:type="spellStart"/>
      <w:r w:rsidRPr="00EE60BF">
        <w:rPr>
          <w:rFonts w:ascii="Arial" w:hAnsi="Arial" w:cs="Arial"/>
        </w:rPr>
        <w:t>bylo</w:t>
      </w:r>
      <w:proofErr w:type="spellEnd"/>
      <w:r w:rsidRPr="00EE60BF">
        <w:rPr>
          <w:rFonts w:ascii="Arial" w:hAnsi="Arial" w:cs="Arial"/>
        </w:rPr>
        <w:t xml:space="preserve"> </w:t>
      </w:r>
      <w:proofErr w:type="spellStart"/>
      <w:r w:rsidRPr="00EE60BF">
        <w:rPr>
          <w:rFonts w:ascii="Arial" w:hAnsi="Arial" w:cs="Arial"/>
        </w:rPr>
        <w:t>konečné</w:t>
      </w:r>
      <w:proofErr w:type="spellEnd"/>
      <w:r w:rsidRPr="00EE60BF">
        <w:rPr>
          <w:rFonts w:ascii="Arial" w:hAnsi="Arial" w:cs="Arial"/>
        </w:rPr>
        <w:t xml:space="preserve">, </w:t>
      </w:r>
      <w:proofErr w:type="spellStart"/>
      <w:r w:rsidRPr="00EE60BF">
        <w:rPr>
          <w:rFonts w:ascii="Arial" w:hAnsi="Arial" w:cs="Arial"/>
        </w:rPr>
        <w:t>postrádala</w:t>
      </w:r>
      <w:proofErr w:type="spellEnd"/>
      <w:r w:rsidRPr="00EE60BF">
        <w:rPr>
          <w:rFonts w:ascii="Arial" w:hAnsi="Arial" w:cs="Arial"/>
        </w:rPr>
        <w:t xml:space="preserve"> by </w:t>
      </w:r>
      <w:proofErr w:type="spellStart"/>
      <w:r w:rsidRPr="00EE60BF">
        <w:rPr>
          <w:rFonts w:ascii="Arial" w:hAnsi="Arial" w:cs="Arial"/>
        </w:rPr>
        <w:t>smysl</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
    <w:p w14:paraId="1FEA54A1" w14:textId="77777777" w:rsidR="0084634C" w:rsidRDefault="0084634C" w:rsidP="0084634C">
      <w:pPr>
        <w:jc w:val="both"/>
        <w:rPr>
          <w:rFonts w:ascii="Arial" w:hAnsi="Arial" w:cs="Arial"/>
        </w:rPr>
      </w:pPr>
    </w:p>
    <w:p w14:paraId="7BBD5E08" w14:textId="77777777" w:rsidR="0084634C" w:rsidRPr="00EE60BF" w:rsidRDefault="0084634C" w:rsidP="0084634C">
      <w:pPr>
        <w:jc w:val="both"/>
        <w:rPr>
          <w:rFonts w:ascii="Arial" w:hAnsi="Arial" w:cs="Arial"/>
        </w:rPr>
      </w:pPr>
      <w:r w:rsidRPr="00EE60BF">
        <w:rPr>
          <w:rFonts w:ascii="Arial" w:hAnsi="Arial" w:cs="Arial"/>
        </w:rPr>
        <w:t xml:space="preserve">Tato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použitím</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w:t>
      </w:r>
      <w:proofErr w:type="spellStart"/>
      <w:proofErr w:type="gramStart"/>
      <w:r w:rsidRPr="00EE60BF">
        <w:rPr>
          <w:rFonts w:ascii="Arial" w:hAnsi="Arial" w:cs="Arial"/>
        </w:rPr>
        <w:t>také“</w:t>
      </w:r>
      <w:proofErr w:type="gramEnd"/>
      <w:r w:rsidRPr="00EE60BF">
        <w:rPr>
          <w:rFonts w:ascii="Arial" w:hAnsi="Arial" w:cs="Arial"/>
        </w:rPr>
        <w:t>naopak</w:t>
      </w:r>
      <w:proofErr w:type="spellEnd"/>
      <w:r w:rsidRPr="00EE60BF">
        <w:rPr>
          <w:rFonts w:ascii="Arial" w:hAnsi="Arial" w:cs="Arial"/>
        </w:rPr>
        <w:t xml:space="preserve"> </w:t>
      </w:r>
      <w:proofErr w:type="spellStart"/>
      <w:r w:rsidRPr="00EE60BF">
        <w:rPr>
          <w:rFonts w:ascii="Arial" w:hAnsi="Arial" w:cs="Arial"/>
        </w:rPr>
        <w:t>směřuje</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musí</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do </w:t>
      </w:r>
      <w:proofErr w:type="spellStart"/>
      <w:r w:rsidRPr="00EE60BF">
        <w:rPr>
          <w:rFonts w:ascii="Arial" w:hAnsi="Arial" w:cs="Arial"/>
        </w:rPr>
        <w:t>svého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ostatních</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ZDP </w:t>
      </w:r>
      <w:proofErr w:type="spellStart"/>
      <w:r w:rsidRPr="00EE60BF">
        <w:rPr>
          <w:rFonts w:ascii="Arial" w:hAnsi="Arial" w:cs="Arial"/>
        </w:rPr>
        <w:t>zahrnout</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výši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Zahrnutí</w:t>
      </w:r>
      <w:proofErr w:type="spellEnd"/>
      <w:r w:rsidRPr="00EE60BF">
        <w:rPr>
          <w:rFonts w:ascii="Arial" w:hAnsi="Arial" w:cs="Arial"/>
        </w:rPr>
        <w:t xml:space="preserve">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brání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w:t>
      </w:r>
      <w:proofErr w:type="spellStart"/>
      <w:r w:rsidRPr="00EE60BF">
        <w:rPr>
          <w:rFonts w:ascii="Arial" w:hAnsi="Arial" w:cs="Arial"/>
        </w:rPr>
        <w:t>obsažený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Toto </w:t>
      </w:r>
      <w:proofErr w:type="spellStart"/>
      <w:r w:rsidRPr="00EE60BF">
        <w:rPr>
          <w:rFonts w:ascii="Arial" w:hAnsi="Arial" w:cs="Arial"/>
        </w:rPr>
        <w:t>zdanění</w:t>
      </w:r>
      <w:proofErr w:type="spellEnd"/>
      <w:r w:rsidRPr="00EE60BF">
        <w:rPr>
          <w:rFonts w:ascii="Arial" w:hAnsi="Arial" w:cs="Arial"/>
        </w:rPr>
        <w:t xml:space="preserve"> by se </w:t>
      </w:r>
      <w:proofErr w:type="spellStart"/>
      <w:r w:rsidRPr="00EE60BF">
        <w:rPr>
          <w:rFonts w:ascii="Arial" w:hAnsi="Arial" w:cs="Arial"/>
        </w:rPr>
        <w:t>mělo</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k </w:t>
      </w:r>
      <w:proofErr w:type="spellStart"/>
      <w:r w:rsidRPr="00EE60BF">
        <w:rPr>
          <w:rFonts w:ascii="Arial" w:hAnsi="Arial" w:cs="Arial"/>
        </w:rPr>
        <w:t>obecnému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
    <w:p w14:paraId="2ACD45EE" w14:textId="77777777" w:rsidR="0084634C" w:rsidRDefault="0084634C" w:rsidP="0084634C">
      <w:pPr>
        <w:jc w:val="both"/>
        <w:rPr>
          <w:rFonts w:ascii="Arial" w:hAnsi="Arial" w:cs="Arial"/>
        </w:rPr>
      </w:pPr>
    </w:p>
    <w:p w14:paraId="20007A07" w14:textId="77777777" w:rsidR="0084634C" w:rsidRPr="00EE60BF" w:rsidRDefault="0084634C" w:rsidP="0084634C">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se </w:t>
      </w:r>
      <w:proofErr w:type="spellStart"/>
      <w:r w:rsidRPr="00EE60BF">
        <w:rPr>
          <w:rFonts w:ascii="Arial" w:hAnsi="Arial" w:cs="Arial"/>
        </w:rPr>
        <w:t>navýší</w:t>
      </w:r>
      <w:proofErr w:type="spellEnd"/>
      <w:r w:rsidRPr="00EE60BF">
        <w:rPr>
          <w:rFonts w:ascii="Arial" w:hAnsi="Arial" w:cs="Arial"/>
        </w:rPr>
        <w:t xml:space="preserve"> o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zdanil</w:t>
      </w:r>
      <w:proofErr w:type="spellEnd"/>
      <w:r w:rsidRPr="00EE60BF">
        <w:rPr>
          <w:rFonts w:ascii="Arial" w:hAnsi="Arial" w:cs="Arial"/>
        </w:rPr>
        <w:t xml:space="preserve"> by se </w:t>
      </w:r>
      <w:proofErr w:type="spellStart"/>
      <w:r w:rsidRPr="00EE60BF">
        <w:rPr>
          <w:rFonts w:ascii="Arial" w:hAnsi="Arial" w:cs="Arial"/>
        </w:rPr>
        <w:t>sazbou</w:t>
      </w:r>
      <w:proofErr w:type="spellEnd"/>
      <w:r w:rsidRPr="00EE60BF">
        <w:rPr>
          <w:rFonts w:ascii="Arial" w:hAnsi="Arial" w:cs="Arial"/>
        </w:rPr>
        <w:t xml:space="preserve"> 15%.</w:t>
      </w:r>
    </w:p>
    <w:p w14:paraId="4D562BB8" w14:textId="77777777" w:rsidR="0084634C" w:rsidRDefault="0084634C" w:rsidP="0084634C">
      <w:pPr>
        <w:jc w:val="both"/>
        <w:rPr>
          <w:rFonts w:ascii="Arial" w:hAnsi="Arial" w:cs="Arial"/>
        </w:rPr>
      </w:pPr>
    </w:p>
    <w:p w14:paraId="7DD80F20" w14:textId="77777777" w:rsidR="0084634C" w:rsidRPr="00EE60BF" w:rsidRDefault="0084634C" w:rsidP="0084634C">
      <w:pPr>
        <w:jc w:val="both"/>
        <w:rPr>
          <w:rFonts w:ascii="Arial" w:hAnsi="Arial" w:cs="Arial"/>
        </w:rPr>
      </w:pPr>
      <w:proofErr w:type="spellStart"/>
      <w:r w:rsidRPr="00EE60BF">
        <w:rPr>
          <w:rFonts w:ascii="Arial" w:hAnsi="Arial" w:cs="Arial"/>
        </w:rPr>
        <w:t>Úpravu</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postavit</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logice</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se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vyplácel</w:t>
      </w:r>
      <w:proofErr w:type="spellEnd"/>
      <w:r w:rsidRPr="00EE60BF">
        <w:rPr>
          <w:rFonts w:ascii="Arial" w:hAnsi="Arial" w:cs="Arial"/>
        </w:rPr>
        <w:t xml:space="preserve"> v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nejprve</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zpeněžit</w:t>
      </w:r>
      <w:proofErr w:type="spellEnd"/>
      <w:r w:rsidRPr="00EE60BF">
        <w:rPr>
          <w:rFonts w:ascii="Arial" w:hAnsi="Arial" w:cs="Arial"/>
        </w:rPr>
        <w:t xml:space="preserve"> </w:t>
      </w:r>
      <w:proofErr w:type="spellStart"/>
      <w:r w:rsidRPr="00EE60BF">
        <w:rPr>
          <w:rFonts w:ascii="Arial" w:hAnsi="Arial" w:cs="Arial"/>
        </w:rPr>
        <w:t>prodejem</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ze </w:t>
      </w:r>
      <w:proofErr w:type="spellStart"/>
      <w:r w:rsidRPr="00EE60BF">
        <w:rPr>
          <w:rFonts w:ascii="Arial" w:hAnsi="Arial" w:cs="Arial"/>
        </w:rPr>
        <w:t>zisku</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určeného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trhu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6.000) a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vstupní</w:t>
      </w:r>
      <w:proofErr w:type="spellEnd"/>
      <w:r w:rsidRPr="00EE60BF">
        <w:rPr>
          <w:rFonts w:ascii="Arial" w:hAnsi="Arial" w:cs="Arial"/>
        </w:rPr>
        <w:t xml:space="preserve"> (resp.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prodaného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tj</w:t>
      </w:r>
      <w:proofErr w:type="spellEnd"/>
      <w:r w:rsidRPr="00EE60BF">
        <w:rPr>
          <w:rFonts w:ascii="Arial" w:hAnsi="Arial" w:cs="Arial"/>
        </w:rPr>
        <w:t xml:space="preserve">. 3.000,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w:t>
      </w:r>
      <w:proofErr w:type="spellStart"/>
      <w:r w:rsidRPr="00EE60BF">
        <w:rPr>
          <w:rFonts w:ascii="Arial" w:hAnsi="Arial" w:cs="Arial"/>
        </w:rPr>
        <w:t>odvést</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gramStart"/>
      <w:r w:rsidRPr="00EE60BF">
        <w:rPr>
          <w:rFonts w:ascii="Arial" w:hAnsi="Arial" w:cs="Arial"/>
          <w:b/>
          <w:bCs/>
        </w:rPr>
        <w:t>DPPO</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a to i </w:t>
      </w:r>
      <w:proofErr w:type="spellStart"/>
      <w:r w:rsidRPr="00EE60BF">
        <w:rPr>
          <w:rFonts w:ascii="Arial" w:hAnsi="Arial" w:cs="Arial"/>
        </w:rPr>
        <w:t>když</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neodpovídá</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prodeji</w:t>
      </w:r>
      <w:proofErr w:type="spellEnd"/>
      <w:r w:rsidRPr="00EE60BF">
        <w:rPr>
          <w:rFonts w:ascii="Arial" w:hAnsi="Arial" w:cs="Arial"/>
        </w:rPr>
        <w:t xml:space="preserve"> </w:t>
      </w:r>
      <w:proofErr w:type="spellStart"/>
      <w:r w:rsidRPr="00EE60BF">
        <w:rPr>
          <w:rFonts w:ascii="Arial" w:hAnsi="Arial" w:cs="Arial"/>
        </w:rPr>
        <w:t>vykázala</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w:t>
      </w:r>
    </w:p>
    <w:p w14:paraId="64C9444C" w14:textId="77777777" w:rsidR="0084634C" w:rsidRDefault="0084634C" w:rsidP="0084634C">
      <w:pPr>
        <w:jc w:val="both"/>
        <w:rPr>
          <w:rFonts w:ascii="Arial" w:hAnsi="Arial" w:cs="Arial"/>
        </w:rPr>
      </w:pPr>
    </w:p>
    <w:p w14:paraId="184DF340" w14:textId="77777777" w:rsidR="0084634C" w:rsidRPr="00EE60BF" w:rsidRDefault="0084634C" w:rsidP="0084634C">
      <w:pPr>
        <w:jc w:val="both"/>
        <w:rPr>
          <w:rFonts w:ascii="Arial" w:hAnsi="Arial" w:cs="Arial"/>
        </w:rPr>
      </w:pPr>
      <w:proofErr w:type="spellStart"/>
      <w:r w:rsidRPr="00EE60BF">
        <w:rPr>
          <w:rFonts w:ascii="Arial" w:hAnsi="Arial" w:cs="Arial"/>
        </w:rPr>
        <w:lastRenderedPageBreak/>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ale </w:t>
      </w:r>
      <w:proofErr w:type="spellStart"/>
      <w:r w:rsidRPr="00EE60BF">
        <w:rPr>
          <w:rFonts w:ascii="Arial" w:hAnsi="Arial" w:cs="Arial"/>
        </w:rPr>
        <w:t>vykládat</w:t>
      </w:r>
      <w:proofErr w:type="spellEnd"/>
      <w:r w:rsidRPr="00EE60BF">
        <w:rPr>
          <w:rFonts w:ascii="Arial" w:hAnsi="Arial" w:cs="Arial"/>
        </w:rPr>
        <w:t xml:space="preserve"> i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celé</w:t>
      </w:r>
      <w:proofErr w:type="spellEnd"/>
      <w:r w:rsidRPr="00EE60BF">
        <w:rPr>
          <w:rFonts w:ascii="Arial" w:hAnsi="Arial" w:cs="Arial"/>
        </w:rPr>
        <w:t xml:space="preserve"> </w:t>
      </w:r>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f) ZDP a k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neprovádí</w:t>
      </w:r>
      <w:proofErr w:type="spellEnd"/>
      <w:r w:rsidRPr="00EE60BF">
        <w:rPr>
          <w:rFonts w:ascii="Arial" w:hAnsi="Arial" w:cs="Arial"/>
        </w:rPr>
        <w:t>.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vycházela</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vydávaného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5.000),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snižovala</w:t>
      </w:r>
      <w:proofErr w:type="spellEnd"/>
      <w:r w:rsidRPr="00EE60BF">
        <w:rPr>
          <w:rFonts w:ascii="Arial" w:hAnsi="Arial" w:cs="Arial"/>
        </w:rPr>
        <w:t xml:space="preserve"> o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2.000).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což</w:t>
      </w:r>
      <w:proofErr w:type="spellEnd"/>
      <w:r w:rsidRPr="00EE60BF">
        <w:rPr>
          <w:rFonts w:ascii="Arial" w:hAnsi="Arial" w:cs="Arial"/>
        </w:rPr>
        <w:t xml:space="preserve"> by </w:t>
      </w:r>
      <w:proofErr w:type="spellStart"/>
      <w:r w:rsidRPr="00EE60BF">
        <w:rPr>
          <w:rFonts w:ascii="Arial" w:hAnsi="Arial" w:cs="Arial"/>
        </w:rPr>
        <w:t>znamenalo</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
    <w:p w14:paraId="01799759" w14:textId="77777777" w:rsidR="0084634C" w:rsidRDefault="0084634C" w:rsidP="0084634C">
      <w:pPr>
        <w:jc w:val="both"/>
        <w:rPr>
          <w:rFonts w:ascii="Arial" w:hAnsi="Arial" w:cs="Arial"/>
        </w:rPr>
      </w:pPr>
    </w:p>
    <w:p w14:paraId="30AFF48B" w14:textId="77777777" w:rsidR="0084634C" w:rsidRPr="00EE60BF" w:rsidRDefault="0084634C" w:rsidP="0084634C">
      <w:pPr>
        <w:jc w:val="both"/>
        <w:rPr>
          <w:rFonts w:ascii="Arial" w:hAnsi="Arial" w:cs="Arial"/>
        </w:rPr>
      </w:pP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proofErr w:type="spellStart"/>
      <w:r w:rsidRPr="00EE60BF">
        <w:rPr>
          <w:rFonts w:ascii="Arial" w:hAnsi="Arial" w:cs="Arial"/>
        </w:rPr>
        <w:t>podporuje</w:t>
      </w:r>
      <w:proofErr w:type="spellEnd"/>
      <w:r w:rsidRPr="00EE60BF">
        <w:rPr>
          <w:rFonts w:ascii="Arial" w:hAnsi="Arial" w:cs="Arial"/>
        </w:rPr>
        <w:t xml:space="preserve"> i </w:t>
      </w:r>
      <w:proofErr w:type="spellStart"/>
      <w:r w:rsidRPr="00EE60BF">
        <w:rPr>
          <w:rFonts w:ascii="Arial" w:hAnsi="Arial" w:cs="Arial"/>
        </w:rPr>
        <w:t>odborná</w:t>
      </w:r>
      <w:proofErr w:type="spellEnd"/>
      <w:r w:rsidRPr="00EE60BF">
        <w:rPr>
          <w:rFonts w:ascii="Arial" w:hAnsi="Arial" w:cs="Arial"/>
        </w:rPr>
        <w:t xml:space="preserve"> </w:t>
      </w:r>
      <w:proofErr w:type="spellStart"/>
      <w:r w:rsidRPr="00EE60BF">
        <w:rPr>
          <w:rFonts w:ascii="Arial" w:hAnsi="Arial" w:cs="Arial"/>
        </w:rPr>
        <w:t>literatura</w:t>
      </w:r>
      <w:proofErr w:type="spellEnd"/>
      <w:r w:rsidRPr="00EE60BF">
        <w:rPr>
          <w:rFonts w:ascii="Arial" w:hAnsi="Arial" w:cs="Arial"/>
        </w:rPr>
        <w:t>: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s. r. o. </w:t>
      </w:r>
      <w:proofErr w:type="spellStart"/>
      <w:r w:rsidRPr="00EE60BF">
        <w:rPr>
          <w:rFonts w:ascii="Arial" w:hAnsi="Arial" w:cs="Arial"/>
          <w:i/>
          <w:iCs/>
        </w:rPr>
        <w:t>představuje</w:t>
      </w:r>
      <w:proofErr w:type="spellEnd"/>
      <w:r w:rsidRPr="00EE60BF">
        <w:rPr>
          <w:rFonts w:ascii="Arial" w:hAnsi="Arial" w:cs="Arial"/>
          <w:i/>
          <w:iCs/>
        </w:rPr>
        <w:t xml:space="preserve"> u </w:t>
      </w:r>
      <w:proofErr w:type="spellStart"/>
      <w:r w:rsidRPr="00EE60BF">
        <w:rPr>
          <w:rFonts w:ascii="Arial" w:hAnsi="Arial" w:cs="Arial"/>
          <w:i/>
          <w:iCs/>
        </w:rPr>
        <w:t>společníka</w:t>
      </w:r>
      <w:proofErr w:type="spellEnd"/>
      <w:r w:rsidRPr="00EE60BF">
        <w:rPr>
          <w:rFonts w:ascii="Arial" w:hAnsi="Arial" w:cs="Arial"/>
          <w:i/>
          <w:iCs/>
        </w:rPr>
        <w:t xml:space="preserve"> – </w:t>
      </w:r>
      <w:proofErr w:type="spellStart"/>
      <w:r w:rsidRPr="00EE60BF">
        <w:rPr>
          <w:rFonts w:ascii="Arial" w:hAnsi="Arial" w:cs="Arial"/>
          <w:i/>
          <w:iCs/>
        </w:rPr>
        <w:t>fyzické</w:t>
      </w:r>
      <w:proofErr w:type="spellEnd"/>
      <w:r w:rsidRPr="00EE60BF">
        <w:rPr>
          <w:rFonts w:ascii="Arial" w:hAnsi="Arial" w:cs="Arial"/>
          <w:i/>
          <w:iCs/>
        </w:rPr>
        <w:t xml:space="preserve"> </w:t>
      </w:r>
      <w:proofErr w:type="spellStart"/>
      <w:r w:rsidRPr="00EE60BF">
        <w:rPr>
          <w:rFonts w:ascii="Arial" w:hAnsi="Arial" w:cs="Arial"/>
          <w:i/>
          <w:iCs/>
        </w:rPr>
        <w:t>osoby</w:t>
      </w:r>
      <w:proofErr w:type="spellEnd"/>
      <w:r w:rsidRPr="00EE60BF">
        <w:rPr>
          <w:rFonts w:ascii="Arial" w:hAnsi="Arial" w:cs="Arial"/>
          <w:i/>
          <w:iCs/>
        </w:rPr>
        <w:t xml:space="preserve"> –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ostatní</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w:t>
      </w:r>
      <w:proofErr w:type="spellStart"/>
      <w:r w:rsidRPr="00EE60BF">
        <w:rPr>
          <w:rFonts w:ascii="Arial" w:hAnsi="Arial" w:cs="Arial"/>
          <w:i/>
          <w:iCs/>
        </w:rPr>
        <w:t>bodu</w:t>
      </w:r>
      <w:proofErr w:type="spellEnd"/>
      <w:r w:rsidRPr="00EE60BF">
        <w:rPr>
          <w:rFonts w:ascii="Arial" w:hAnsi="Arial" w:cs="Arial"/>
          <w:i/>
          <w:iCs/>
        </w:rPr>
        <w:t xml:space="preserve"> 1 ZDP. </w:t>
      </w:r>
      <w:proofErr w:type="spellStart"/>
      <w:r w:rsidRPr="00EE60BF">
        <w:rPr>
          <w:rFonts w:ascii="Arial" w:hAnsi="Arial" w:cs="Arial"/>
          <w:i/>
          <w:iCs/>
        </w:rPr>
        <w:t>Komplikací</w:t>
      </w:r>
      <w:proofErr w:type="spellEnd"/>
      <w:r w:rsidRPr="00EE60BF">
        <w:rPr>
          <w:rFonts w:ascii="Arial" w:hAnsi="Arial" w:cs="Arial"/>
          <w:i/>
          <w:iCs/>
        </w:rPr>
        <w:t xml:space="preserve"> je, </w:t>
      </w:r>
      <w:proofErr w:type="spellStart"/>
      <w:r w:rsidRPr="00EE60BF">
        <w:rPr>
          <w:rFonts w:ascii="Arial" w:hAnsi="Arial" w:cs="Arial"/>
          <w:i/>
          <w:iCs/>
        </w:rPr>
        <w:t>že</w:t>
      </w:r>
      <w:proofErr w:type="spellEnd"/>
      <w:r w:rsidRPr="00EE60BF">
        <w:rPr>
          <w:rFonts w:ascii="Arial" w:hAnsi="Arial" w:cs="Arial"/>
          <w:i/>
          <w:iCs/>
        </w:rPr>
        <w:t xml:space="preserve"> u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se </w:t>
      </w:r>
      <w:proofErr w:type="spellStart"/>
      <w:r w:rsidRPr="00EE60BF">
        <w:rPr>
          <w:rFonts w:ascii="Arial" w:hAnsi="Arial" w:cs="Arial"/>
          <w:i/>
          <w:iCs/>
        </w:rPr>
        <w:t>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8 ZDP </w:t>
      </w:r>
      <w:proofErr w:type="spellStart"/>
      <w:r w:rsidRPr="00EE60BF">
        <w:rPr>
          <w:rFonts w:ascii="Arial" w:hAnsi="Arial" w:cs="Arial"/>
          <w:i/>
          <w:iCs/>
        </w:rPr>
        <w:t>zdanitelným</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dále</w:t>
      </w:r>
      <w:proofErr w:type="spellEnd"/>
      <w:r w:rsidRPr="00EE60BF">
        <w:rPr>
          <w:rFonts w:ascii="Arial" w:hAnsi="Arial" w:cs="Arial"/>
          <w:i/>
          <w:iCs/>
        </w:rPr>
        <w:t xml:space="preserve"> </w:t>
      </w:r>
      <w:proofErr w:type="spellStart"/>
      <w:r w:rsidRPr="00EE60BF">
        <w:rPr>
          <w:rFonts w:ascii="Arial" w:hAnsi="Arial" w:cs="Arial"/>
          <w:i/>
          <w:iCs/>
        </w:rPr>
        <w:t>rozumí</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dané</w:t>
      </w:r>
      <w:proofErr w:type="spellEnd"/>
      <w:r w:rsidRPr="00EE60BF">
        <w:rPr>
          <w:rFonts w:ascii="Arial" w:hAnsi="Arial" w:cs="Arial"/>
          <w:i/>
          <w:iCs/>
        </w:rPr>
        <w:t xml:space="preserve"> </w:t>
      </w:r>
      <w:proofErr w:type="spellStart"/>
      <w:r w:rsidRPr="00EE60BF">
        <w:rPr>
          <w:rFonts w:ascii="Arial" w:hAnsi="Arial" w:cs="Arial"/>
          <w:i/>
          <w:iCs/>
        </w:rPr>
        <w:t>věci</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hodnotou</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celkový</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ale </w:t>
      </w:r>
      <w:proofErr w:type="spellStart"/>
      <w:r w:rsidRPr="00EE60BF">
        <w:rPr>
          <w:rFonts w:ascii="Arial" w:hAnsi="Arial" w:cs="Arial"/>
          <w:i/>
          <w:iCs/>
        </w:rPr>
        <w:t>poplatník</w:t>
      </w:r>
      <w:proofErr w:type="spellEnd"/>
      <w:r w:rsidRPr="00EE60BF">
        <w:rPr>
          <w:rFonts w:ascii="Arial" w:hAnsi="Arial" w:cs="Arial"/>
          <w:i/>
          <w:iCs/>
        </w:rPr>
        <w:t xml:space="preserve"> </w:t>
      </w:r>
      <w:proofErr w:type="spellStart"/>
      <w:r w:rsidRPr="00EE60BF">
        <w:rPr>
          <w:rFonts w:ascii="Arial" w:hAnsi="Arial" w:cs="Arial"/>
          <w:i/>
          <w:iCs/>
        </w:rPr>
        <w:t>neuvádí</w:t>
      </w:r>
      <w:proofErr w:type="spellEnd"/>
      <w:r w:rsidRPr="00EE60BF">
        <w:rPr>
          <w:rFonts w:ascii="Arial" w:hAnsi="Arial" w:cs="Arial"/>
          <w:i/>
          <w:iCs/>
        </w:rPr>
        <w:t xml:space="preserve"> do </w:t>
      </w:r>
      <w:proofErr w:type="spellStart"/>
      <w:r w:rsidRPr="00EE60BF">
        <w:rPr>
          <w:rFonts w:ascii="Arial" w:hAnsi="Arial" w:cs="Arial"/>
          <w:i/>
          <w:iCs/>
        </w:rPr>
        <w:t>přiznání</w:t>
      </w:r>
      <w:proofErr w:type="spellEnd"/>
      <w:r w:rsidRPr="00EE60BF">
        <w:rPr>
          <w:rFonts w:ascii="Arial" w:hAnsi="Arial" w:cs="Arial"/>
          <w:i/>
          <w:iCs/>
        </w:rPr>
        <w:t xml:space="preserve"> k </w:t>
      </w:r>
      <w:proofErr w:type="spellStart"/>
      <w:r w:rsidRPr="00EE60BF">
        <w:rPr>
          <w:rFonts w:ascii="Arial" w:hAnsi="Arial" w:cs="Arial"/>
          <w:i/>
          <w:iCs/>
        </w:rPr>
        <w:t>dani</w:t>
      </w:r>
      <w:proofErr w:type="spellEnd"/>
      <w:r w:rsidRPr="00EE60BF">
        <w:rPr>
          <w:rFonts w:ascii="Arial" w:hAnsi="Arial" w:cs="Arial"/>
          <w:i/>
          <w:iCs/>
        </w:rPr>
        <w:t xml:space="preserve"> z </w:t>
      </w:r>
      <w:proofErr w:type="spellStart"/>
      <w:r w:rsidRPr="00EE60BF">
        <w:rPr>
          <w:rFonts w:ascii="Arial" w:hAnsi="Arial" w:cs="Arial"/>
          <w:i/>
          <w:iCs/>
        </w:rPr>
        <w:t>příjmů</w:t>
      </w:r>
      <w:proofErr w:type="spellEnd"/>
      <w:r w:rsidRPr="00EE60BF">
        <w:rPr>
          <w:rFonts w:ascii="Arial" w:hAnsi="Arial" w:cs="Arial"/>
          <w:i/>
          <w:iCs/>
        </w:rPr>
        <w:t xml:space="preserve">, </w:t>
      </w:r>
      <w:proofErr w:type="spellStart"/>
      <w:r w:rsidRPr="00EE60BF">
        <w:rPr>
          <w:rFonts w:ascii="Arial" w:hAnsi="Arial" w:cs="Arial"/>
          <w:i/>
          <w:iCs/>
        </w:rPr>
        <w:t>protože</w:t>
      </w:r>
      <w:proofErr w:type="spellEnd"/>
      <w:r w:rsidRPr="00EE60BF">
        <w:rPr>
          <w:rFonts w:ascii="Arial" w:hAnsi="Arial" w:cs="Arial"/>
          <w:i/>
          <w:iCs/>
        </w:rPr>
        <w:t xml:space="preserve"> </w:t>
      </w:r>
      <w:proofErr w:type="spellStart"/>
      <w:r w:rsidRPr="00EE60BF">
        <w:rPr>
          <w:rFonts w:ascii="Arial" w:hAnsi="Arial" w:cs="Arial"/>
          <w:i/>
          <w:iCs/>
        </w:rPr>
        <w:t>podléhá</w:t>
      </w:r>
      <w:proofErr w:type="spellEnd"/>
      <w:r w:rsidRPr="00EE60BF">
        <w:rPr>
          <w:rFonts w:ascii="Arial" w:hAnsi="Arial" w:cs="Arial"/>
          <w:i/>
          <w:iCs/>
        </w:rPr>
        <w:t xml:space="preserve">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srážkové</w:t>
      </w:r>
      <w:proofErr w:type="spellEnd"/>
      <w:r w:rsidRPr="00EE60BF">
        <w:rPr>
          <w:rFonts w:ascii="Arial" w:hAnsi="Arial" w:cs="Arial"/>
          <w:i/>
          <w:iCs/>
        </w:rPr>
        <w:t xml:space="preserve"> </w:t>
      </w:r>
      <w:proofErr w:type="spellStart"/>
      <w:r w:rsidRPr="00EE60BF">
        <w:rPr>
          <w:rFonts w:ascii="Arial" w:hAnsi="Arial" w:cs="Arial"/>
          <w:i/>
          <w:iCs/>
        </w:rPr>
        <w:t>dani</w:t>
      </w:r>
      <w:proofErr w:type="spellEnd"/>
      <w:r w:rsidRPr="00EE60BF">
        <w:rPr>
          <w:rFonts w:ascii="Arial" w:hAnsi="Arial" w:cs="Arial"/>
          <w:i/>
          <w:iCs/>
        </w:rPr>
        <w:t xml:space="preserve"> 15%, </w:t>
      </w:r>
      <w:proofErr w:type="spellStart"/>
      <w:r w:rsidRPr="00EE60BF">
        <w:rPr>
          <w:rFonts w:ascii="Arial" w:hAnsi="Arial" w:cs="Arial"/>
          <w:i/>
          <w:iCs/>
        </w:rPr>
        <w:t>kterou</w:t>
      </w:r>
      <w:proofErr w:type="spellEnd"/>
      <w:r w:rsidRPr="00EE60BF">
        <w:rPr>
          <w:rFonts w:ascii="Arial" w:hAnsi="Arial" w:cs="Arial"/>
          <w:i/>
          <w:iCs/>
        </w:rPr>
        <w:t xml:space="preserve"> </w:t>
      </w:r>
      <w:proofErr w:type="spellStart"/>
      <w:r w:rsidRPr="00EE60BF">
        <w:rPr>
          <w:rFonts w:ascii="Arial" w:hAnsi="Arial" w:cs="Arial"/>
          <w:i/>
          <w:iCs/>
        </w:rPr>
        <w:t>má</w:t>
      </w:r>
      <w:proofErr w:type="spellEnd"/>
      <w:r w:rsidRPr="00EE60BF">
        <w:rPr>
          <w:rFonts w:ascii="Arial" w:hAnsi="Arial" w:cs="Arial"/>
          <w:i/>
          <w:iCs/>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vypočíst</w:t>
      </w:r>
      <w:proofErr w:type="spellEnd"/>
      <w:r w:rsidRPr="00EE60BF">
        <w:rPr>
          <w:rFonts w:ascii="Arial" w:hAnsi="Arial" w:cs="Arial"/>
          <w:i/>
          <w:iCs/>
        </w:rPr>
        <w:t xml:space="preserve">, </w:t>
      </w:r>
      <w:proofErr w:type="spellStart"/>
      <w:r w:rsidRPr="00EE60BF">
        <w:rPr>
          <w:rFonts w:ascii="Arial" w:hAnsi="Arial" w:cs="Arial"/>
          <w:i/>
          <w:iCs/>
        </w:rPr>
        <w:t>srazit</w:t>
      </w:r>
      <w:proofErr w:type="spellEnd"/>
      <w:r w:rsidRPr="00EE60BF">
        <w:rPr>
          <w:rFonts w:ascii="Arial" w:hAnsi="Arial" w:cs="Arial"/>
          <w:i/>
          <w:iCs/>
        </w:rPr>
        <w:t xml:space="preserve"> </w:t>
      </w:r>
      <w:proofErr w:type="gramStart"/>
      <w:r w:rsidRPr="00EE60BF">
        <w:rPr>
          <w:rFonts w:ascii="Arial" w:hAnsi="Arial" w:cs="Arial"/>
          <w:i/>
          <w:iCs/>
        </w:rPr>
        <w:t>a</w:t>
      </w:r>
      <w:proofErr w:type="gramEnd"/>
      <w:r w:rsidRPr="00EE60BF">
        <w:rPr>
          <w:rFonts w:ascii="Arial" w:hAnsi="Arial" w:cs="Arial"/>
          <w:i/>
          <w:iCs/>
        </w:rPr>
        <w:t xml:space="preserve"> </w:t>
      </w:r>
      <w:proofErr w:type="spellStart"/>
      <w:r w:rsidRPr="00EE60BF">
        <w:rPr>
          <w:rFonts w:ascii="Arial" w:hAnsi="Arial" w:cs="Arial"/>
          <w:i/>
          <w:iCs/>
        </w:rPr>
        <w:t>odvést</w:t>
      </w:r>
      <w:proofErr w:type="spellEnd"/>
      <w:r w:rsidRPr="00EE60BF">
        <w:rPr>
          <w:rFonts w:ascii="Arial" w:hAnsi="Arial" w:cs="Arial"/>
          <w:i/>
          <w:iCs/>
        </w:rPr>
        <w:t xml:space="preserve"> </w:t>
      </w:r>
      <w:proofErr w:type="spellStart"/>
      <w:r w:rsidRPr="00EE60BF">
        <w:rPr>
          <w:rFonts w:ascii="Arial" w:hAnsi="Arial" w:cs="Arial"/>
          <w:i/>
          <w:iCs/>
        </w:rPr>
        <w:t>správci</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příjmu</w:t>
      </w:r>
      <w:proofErr w:type="spellEnd"/>
      <w:r w:rsidRPr="00EE60BF">
        <w:rPr>
          <w:rFonts w:ascii="Arial" w:hAnsi="Arial" w:cs="Arial"/>
          <w:i/>
          <w:iCs/>
        </w:rPr>
        <w:t xml:space="preserve"> </w:t>
      </w:r>
      <w:proofErr w:type="spellStart"/>
      <w:r w:rsidRPr="00EE60BF">
        <w:rPr>
          <w:rFonts w:ascii="Arial" w:hAnsi="Arial" w:cs="Arial"/>
          <w:i/>
          <w:iCs/>
        </w:rPr>
        <w:t>aneb</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s. r. o. v </w:t>
      </w:r>
      <w:proofErr w:type="spellStart"/>
      <w:r w:rsidRPr="00EE60BF">
        <w:rPr>
          <w:rFonts w:ascii="Arial" w:hAnsi="Arial" w:cs="Arial"/>
          <w:i/>
          <w:iCs/>
        </w:rPr>
        <w:t>likvidaci</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 § 36 </w:t>
      </w:r>
      <w:proofErr w:type="spellStart"/>
      <w:r w:rsidRPr="00EE60BF">
        <w:rPr>
          <w:rFonts w:ascii="Arial" w:hAnsi="Arial" w:cs="Arial"/>
          <w:i/>
          <w:iCs/>
        </w:rPr>
        <w:t>odst</w:t>
      </w:r>
      <w:proofErr w:type="spellEnd"/>
      <w:r w:rsidRPr="00EE60BF">
        <w:rPr>
          <w:rFonts w:ascii="Arial" w:hAnsi="Arial" w:cs="Arial"/>
          <w:i/>
          <w:iCs/>
        </w:rPr>
        <w:t xml:space="preserve">. 2 </w:t>
      </w:r>
      <w:proofErr w:type="spellStart"/>
      <w:r w:rsidRPr="00EE60BF">
        <w:rPr>
          <w:rFonts w:ascii="Arial" w:hAnsi="Arial" w:cs="Arial"/>
          <w:i/>
          <w:iCs/>
        </w:rPr>
        <w:t>písm</w:t>
      </w:r>
      <w:proofErr w:type="spellEnd"/>
      <w:r w:rsidRPr="00EE60BF">
        <w:rPr>
          <w:rFonts w:ascii="Arial" w:hAnsi="Arial" w:cs="Arial"/>
          <w:i/>
          <w:iCs/>
        </w:rPr>
        <w:t xml:space="preserve">. f) ZDP je </w:t>
      </w:r>
      <w:proofErr w:type="spellStart"/>
      <w:r w:rsidRPr="00EE60BF">
        <w:rPr>
          <w:rFonts w:ascii="Arial" w:hAnsi="Arial" w:cs="Arial"/>
          <w:i/>
          <w:iCs/>
        </w:rPr>
        <w:t>základem</w:t>
      </w:r>
      <w:proofErr w:type="spellEnd"/>
      <w:r w:rsidRPr="00EE60BF">
        <w:rPr>
          <w:rFonts w:ascii="Arial" w:hAnsi="Arial" w:cs="Arial"/>
          <w:i/>
          <w:iCs/>
        </w:rPr>
        <w:t xml:space="preserve"> pro </w:t>
      </w:r>
      <w:proofErr w:type="spellStart"/>
      <w:r w:rsidRPr="00EE60BF">
        <w:rPr>
          <w:rFonts w:ascii="Arial" w:hAnsi="Arial" w:cs="Arial"/>
          <w:i/>
          <w:iCs/>
        </w:rPr>
        <w:t>srážkovou</w:t>
      </w:r>
      <w:proofErr w:type="spellEnd"/>
      <w:r w:rsidRPr="00EE60BF">
        <w:rPr>
          <w:rFonts w:ascii="Arial" w:hAnsi="Arial" w:cs="Arial"/>
          <w:i/>
          <w:iCs/>
        </w:rPr>
        <w:t xml:space="preserve"> </w:t>
      </w:r>
      <w:proofErr w:type="spellStart"/>
      <w:r w:rsidRPr="00EE60BF">
        <w:rPr>
          <w:rFonts w:ascii="Arial" w:hAnsi="Arial" w:cs="Arial"/>
          <w:i/>
          <w:iCs/>
        </w:rPr>
        <w:t>daň</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z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s. r. o. – </w:t>
      </w:r>
      <w:proofErr w:type="spellStart"/>
      <w:r w:rsidRPr="00EE60BF">
        <w:rPr>
          <w:rFonts w:ascii="Arial" w:hAnsi="Arial" w:cs="Arial"/>
          <w:i/>
          <w:iCs/>
        </w:rPr>
        <w:t>včetně</w:t>
      </w:r>
      <w:proofErr w:type="spellEnd"/>
      <w:r w:rsidRPr="00EE60BF">
        <w:rPr>
          <w:rFonts w:ascii="Arial" w:hAnsi="Arial" w:cs="Arial"/>
          <w:i/>
          <w:iCs/>
        </w:rPr>
        <w:t xml:space="preserve"> </w:t>
      </w:r>
      <w:proofErr w:type="spellStart"/>
      <w:r w:rsidRPr="00EE60BF">
        <w:rPr>
          <w:rFonts w:ascii="Arial" w:hAnsi="Arial" w:cs="Arial"/>
          <w:i/>
          <w:iCs/>
        </w:rPr>
        <w:t>zmíněného</w:t>
      </w:r>
      <w:proofErr w:type="spellEnd"/>
      <w:r w:rsidRPr="00EE60BF">
        <w:rPr>
          <w:rFonts w:ascii="Arial" w:hAnsi="Arial" w:cs="Arial"/>
          <w:i/>
          <w:iCs/>
        </w:rPr>
        <w:t xml:space="preserve"> </w:t>
      </w:r>
      <w:proofErr w:type="spellStart"/>
      <w:r w:rsidRPr="00EE60BF">
        <w:rPr>
          <w:rFonts w:ascii="Arial" w:hAnsi="Arial" w:cs="Arial"/>
          <w:i/>
          <w:iCs/>
        </w:rPr>
        <w:t>kladného</w:t>
      </w:r>
      <w:proofErr w:type="spellEnd"/>
      <w:r w:rsidRPr="00EE60BF">
        <w:rPr>
          <w:rFonts w:ascii="Arial" w:hAnsi="Arial" w:cs="Arial"/>
          <w:i/>
          <w:iCs/>
        </w:rPr>
        <w:t xml:space="preserve"> </w:t>
      </w:r>
      <w:proofErr w:type="spellStart"/>
      <w:r w:rsidRPr="00EE60BF">
        <w:rPr>
          <w:rFonts w:ascii="Arial" w:hAnsi="Arial" w:cs="Arial"/>
          <w:i/>
          <w:iCs/>
        </w:rPr>
        <w:t>přesahu</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bytové</w:t>
      </w:r>
      <w:proofErr w:type="spellEnd"/>
      <w:r w:rsidRPr="00EE60BF">
        <w:rPr>
          <w:rFonts w:ascii="Arial" w:hAnsi="Arial" w:cs="Arial"/>
          <w:i/>
          <w:iCs/>
        </w:rPr>
        <w:t xml:space="preserve"> </w:t>
      </w:r>
      <w:proofErr w:type="spellStart"/>
      <w:r w:rsidRPr="00EE60BF">
        <w:rPr>
          <w:rFonts w:ascii="Arial" w:hAnsi="Arial" w:cs="Arial"/>
          <w:i/>
          <w:iCs/>
        </w:rPr>
        <w:t>jednotky</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který</w:t>
      </w:r>
      <w:proofErr w:type="spellEnd"/>
      <w:r w:rsidRPr="00EE60BF">
        <w:rPr>
          <w:rFonts w:ascii="Arial" w:hAnsi="Arial" w:cs="Arial"/>
          <w:i/>
          <w:iCs/>
        </w:rPr>
        <w:t xml:space="preserve"> je </w:t>
      </w:r>
      <w:proofErr w:type="spellStart"/>
      <w:r w:rsidRPr="00EE60BF">
        <w:rPr>
          <w:rFonts w:ascii="Arial" w:hAnsi="Arial" w:cs="Arial"/>
          <w:i/>
          <w:iCs/>
        </w:rPr>
        <w:t>snížený</w:t>
      </w:r>
      <w:proofErr w:type="spellEnd"/>
      <w:r w:rsidRPr="00EE60BF">
        <w:rPr>
          <w:rFonts w:ascii="Arial" w:hAnsi="Arial" w:cs="Arial"/>
          <w:i/>
          <w:iCs/>
        </w:rPr>
        <w:t xml:space="preserve"> o </w:t>
      </w:r>
      <w:proofErr w:type="spellStart"/>
      <w:r w:rsidRPr="00EE60BF">
        <w:rPr>
          <w:rFonts w:ascii="Arial" w:hAnsi="Arial" w:cs="Arial"/>
          <w:i/>
          <w:iCs/>
        </w:rPr>
        <w:t>prokázanou</w:t>
      </w:r>
      <w:proofErr w:type="spellEnd"/>
      <w:r w:rsidRPr="00EE60BF">
        <w:rPr>
          <w:rFonts w:ascii="Arial" w:hAnsi="Arial" w:cs="Arial"/>
          <w:i/>
          <w:iCs/>
        </w:rPr>
        <w:t xml:space="preserve">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jež</w:t>
      </w:r>
      <w:proofErr w:type="spellEnd"/>
      <w:r w:rsidRPr="00EE60BF">
        <w:rPr>
          <w:rFonts w:ascii="Arial" w:hAnsi="Arial" w:cs="Arial"/>
          <w:i/>
          <w:iCs/>
        </w:rPr>
        <w:t xml:space="preserve"> se </w:t>
      </w:r>
      <w:proofErr w:type="spellStart"/>
      <w:r w:rsidRPr="00EE60BF">
        <w:rPr>
          <w:rFonts w:ascii="Arial" w:hAnsi="Arial" w:cs="Arial"/>
          <w:i/>
          <w:iCs/>
        </w:rPr>
        <w:t>určí</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24 </w:t>
      </w:r>
      <w:proofErr w:type="spellStart"/>
      <w:r w:rsidRPr="00EE60BF">
        <w:rPr>
          <w:rFonts w:ascii="Arial" w:hAnsi="Arial" w:cs="Arial"/>
          <w:i/>
          <w:iCs/>
        </w:rPr>
        <w:t>odst</w:t>
      </w:r>
      <w:proofErr w:type="spellEnd"/>
      <w:r w:rsidRPr="00EE60BF">
        <w:rPr>
          <w:rFonts w:ascii="Arial" w:hAnsi="Arial" w:cs="Arial"/>
          <w:i/>
          <w:iCs/>
        </w:rPr>
        <w:t xml:space="preserve">. 7 </w:t>
      </w:r>
      <w:proofErr w:type="gramStart"/>
      <w:r w:rsidRPr="00EE60BF">
        <w:rPr>
          <w:rFonts w:ascii="Arial" w:hAnsi="Arial" w:cs="Arial"/>
          <w:i/>
          <w:iCs/>
        </w:rPr>
        <w:t>ZDP</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Děrgel</w:t>
      </w:r>
      <w:proofErr w:type="spellEnd"/>
      <w:r w:rsidRPr="00EE60BF">
        <w:rPr>
          <w:rFonts w:ascii="Arial" w:hAnsi="Arial" w:cs="Arial"/>
        </w:rPr>
        <w:t xml:space="preserve"> Martin,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s.r.o.</w:t>
      </w:r>
      <w:proofErr w:type="spellEnd"/>
      <w:r w:rsidRPr="00EE60BF">
        <w:rPr>
          <w:rFonts w:ascii="Arial" w:hAnsi="Arial" w:cs="Arial"/>
        </w:rPr>
        <w:t xml:space="preserve">, </w:t>
      </w:r>
      <w:proofErr w:type="spellStart"/>
      <w:r w:rsidRPr="00EE60BF">
        <w:rPr>
          <w:rFonts w:ascii="Arial" w:hAnsi="Arial" w:cs="Arial"/>
        </w:rPr>
        <w:t>OaO</w:t>
      </w:r>
      <w:proofErr w:type="spellEnd"/>
      <w:r w:rsidRPr="00EE60BF">
        <w:rPr>
          <w:rFonts w:ascii="Arial" w:hAnsi="Arial" w:cs="Arial"/>
        </w:rPr>
        <w:t xml:space="preserve">. – </w:t>
      </w:r>
      <w:proofErr w:type="spellStart"/>
      <w:r w:rsidRPr="00EE60BF">
        <w:rPr>
          <w:rFonts w:ascii="Arial" w:hAnsi="Arial" w:cs="Arial"/>
        </w:rPr>
        <w:t>Otázky</w:t>
      </w:r>
      <w:proofErr w:type="spellEnd"/>
      <w:r w:rsidRPr="00EE60BF">
        <w:rPr>
          <w:rFonts w:ascii="Arial" w:hAnsi="Arial" w:cs="Arial"/>
        </w:rPr>
        <w:t xml:space="preserve"> </w:t>
      </w:r>
      <w:proofErr w:type="gramStart"/>
      <w:r w:rsidRPr="00EE60BF">
        <w:rPr>
          <w:rFonts w:ascii="Arial" w:hAnsi="Arial" w:cs="Arial"/>
        </w:rPr>
        <w:t>a</w:t>
      </w:r>
      <w:proofErr w:type="gramEnd"/>
      <w:r w:rsidRPr="00EE60BF">
        <w:rPr>
          <w:rFonts w:ascii="Arial" w:hAnsi="Arial" w:cs="Arial"/>
        </w:rPr>
        <w:t xml:space="preserve"> </w:t>
      </w:r>
      <w:proofErr w:type="spellStart"/>
      <w:r w:rsidRPr="00EE60BF">
        <w:rPr>
          <w:rFonts w:ascii="Arial" w:hAnsi="Arial" w:cs="Arial"/>
        </w:rPr>
        <w:t>odpovědi</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Ročník</w:t>
      </w:r>
      <w:proofErr w:type="spellEnd"/>
      <w:r w:rsidRPr="00EE60BF">
        <w:rPr>
          <w:rFonts w:ascii="Arial" w:hAnsi="Arial" w:cs="Arial"/>
        </w:rPr>
        <w:t xml:space="preserve"> 2015. </w:t>
      </w:r>
      <w:proofErr w:type="spellStart"/>
      <w:r w:rsidRPr="00EE60BF">
        <w:rPr>
          <w:rFonts w:ascii="Arial" w:hAnsi="Arial" w:cs="Arial"/>
        </w:rPr>
        <w:t>číslo</w:t>
      </w:r>
      <w:proofErr w:type="spellEnd"/>
      <w:r w:rsidRPr="00EE60BF">
        <w:rPr>
          <w:rFonts w:ascii="Arial" w:hAnsi="Arial" w:cs="Arial"/>
        </w:rPr>
        <w:t xml:space="preserve"> 6, str. 14, (ASPI ID: LIT137253CZ).</w:t>
      </w:r>
    </w:p>
    <w:p w14:paraId="69454FB6" w14:textId="77777777" w:rsidR="0084634C" w:rsidRDefault="0084634C" w:rsidP="0084634C">
      <w:pPr>
        <w:jc w:val="both"/>
        <w:rPr>
          <w:rFonts w:ascii="Arial" w:hAnsi="Arial" w:cs="Arial"/>
        </w:rPr>
      </w:pPr>
    </w:p>
    <w:p w14:paraId="230FEEF2" w14:textId="77777777" w:rsidR="0084634C" w:rsidRPr="00EE60BF" w:rsidRDefault="0084634C" w:rsidP="0084634C">
      <w:pPr>
        <w:jc w:val="both"/>
        <w:rPr>
          <w:rFonts w:ascii="Arial" w:hAnsi="Arial" w:cs="Arial"/>
        </w:rPr>
      </w:pPr>
      <w:r w:rsidRPr="00EE60BF">
        <w:rPr>
          <w:rFonts w:ascii="Arial" w:hAnsi="Arial" w:cs="Arial"/>
        </w:rPr>
        <w:t>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by se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neuplatnila</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w:t>
      </w:r>
    </w:p>
    <w:p w14:paraId="354E7269" w14:textId="77777777" w:rsidR="0084634C" w:rsidRDefault="0084634C" w:rsidP="0084634C">
      <w:pPr>
        <w:jc w:val="both"/>
        <w:rPr>
          <w:rFonts w:ascii="Arial" w:hAnsi="Arial" w:cs="Arial"/>
        </w:rPr>
      </w:pPr>
    </w:p>
    <w:p w14:paraId="1D87FE56" w14:textId="77777777" w:rsidR="0084634C"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názoru</w:t>
      </w:r>
      <w:proofErr w:type="spellEnd"/>
      <w:r w:rsidRPr="00EE60BF">
        <w:rPr>
          <w:rFonts w:ascii="Arial" w:hAnsi="Arial" w:cs="Arial"/>
        </w:rPr>
        <w:t xml:space="preserve"> </w:t>
      </w:r>
      <w:proofErr w:type="spellStart"/>
      <w:r w:rsidRPr="00EE60BF">
        <w:rPr>
          <w:rFonts w:ascii="Arial" w:hAnsi="Arial" w:cs="Arial"/>
        </w:rPr>
        <w:t>předkladatele</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ZDP </w:t>
      </w:r>
      <w:proofErr w:type="spellStart"/>
      <w:r w:rsidRPr="00EE60BF">
        <w:rPr>
          <w:rFonts w:ascii="Arial" w:hAnsi="Arial" w:cs="Arial"/>
        </w:rPr>
        <w:t>uvedený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je </w:t>
      </w:r>
      <w:proofErr w:type="spellStart"/>
      <w:r w:rsidRPr="00EE60BF">
        <w:rPr>
          <w:rFonts w:ascii="Arial" w:hAnsi="Arial" w:cs="Arial"/>
        </w:rPr>
        <w:t>konečná</w:t>
      </w:r>
      <w:proofErr w:type="spellEnd"/>
      <w:r w:rsidRPr="00EE60BF">
        <w:rPr>
          <w:rFonts w:ascii="Arial" w:hAnsi="Arial" w:cs="Arial"/>
        </w:rPr>
        <w:t xml:space="preserve"> a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k </w:t>
      </w:r>
      <w:proofErr w:type="spellStart"/>
      <w:r w:rsidRPr="00EE60BF">
        <w:rPr>
          <w:rFonts w:ascii="Arial" w:hAnsi="Arial" w:cs="Arial"/>
        </w:rPr>
        <w:t>dalšímu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nedochází</w:t>
      </w:r>
      <w:proofErr w:type="spellEnd"/>
      <w:r w:rsidRPr="00EE60BF">
        <w:rPr>
          <w:rFonts w:ascii="Arial" w:hAnsi="Arial" w:cs="Arial"/>
        </w:rPr>
        <w:t xml:space="preserve">. </w:t>
      </w:r>
      <w:proofErr w:type="spellStart"/>
      <w:r w:rsidRPr="00EE60BF">
        <w:rPr>
          <w:rFonts w:ascii="Arial" w:hAnsi="Arial" w:cs="Arial"/>
        </w:rPr>
        <w:t>Ustanovení</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a proto se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
    <w:p w14:paraId="0534FB11" w14:textId="77777777" w:rsidR="0084634C" w:rsidRPr="00EE60BF" w:rsidRDefault="0084634C" w:rsidP="0084634C">
      <w:pPr>
        <w:jc w:val="both"/>
        <w:rPr>
          <w:rFonts w:ascii="Arial" w:hAnsi="Arial" w:cs="Arial"/>
        </w:rPr>
      </w:pPr>
    </w:p>
    <w:p w14:paraId="5C907C23"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2DF73710" w14:textId="77777777" w:rsidR="0084634C" w:rsidRDefault="0084634C" w:rsidP="0084634C">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součet</w:t>
      </w:r>
      <w:proofErr w:type="spellEnd"/>
      <w:r w:rsidRPr="00EE60BF">
        <w:rPr>
          <w:rFonts w:ascii="Arial" w:hAnsi="Arial" w:cs="Arial"/>
          <w:b/>
          <w:bCs/>
        </w:rPr>
        <w:t xml:space="preserve"> </w:t>
      </w:r>
      <w:proofErr w:type="spellStart"/>
      <w:r w:rsidRPr="00EE60BF">
        <w:rPr>
          <w:rFonts w:ascii="Arial" w:hAnsi="Arial" w:cs="Arial"/>
          <w:b/>
          <w:bCs/>
        </w:rPr>
        <w:t>následujících</w:t>
      </w:r>
      <w:proofErr w:type="spellEnd"/>
      <w:r w:rsidRPr="00EE60BF">
        <w:rPr>
          <w:rFonts w:ascii="Arial" w:hAnsi="Arial" w:cs="Arial"/>
          <w:b/>
          <w:bCs/>
        </w:rPr>
        <w:t xml:space="preserve"> </w:t>
      </w:r>
      <w:proofErr w:type="spellStart"/>
      <w:r w:rsidRPr="00EE60BF">
        <w:rPr>
          <w:rFonts w:ascii="Arial" w:hAnsi="Arial" w:cs="Arial"/>
          <w:b/>
          <w:bCs/>
        </w:rPr>
        <w:t>položek</w:t>
      </w:r>
      <w:proofErr w:type="spellEnd"/>
      <w:r w:rsidRPr="00EE60BF">
        <w:rPr>
          <w:rFonts w:ascii="Arial" w:hAnsi="Arial" w:cs="Arial"/>
          <w:b/>
          <w:bCs/>
        </w:rPr>
        <w:t>:</w:t>
      </w:r>
    </w:p>
    <w:p w14:paraId="00082D52" w14:textId="77777777" w:rsidR="0084634C" w:rsidRPr="00EE60BF" w:rsidRDefault="0084634C" w:rsidP="0084634C">
      <w:pPr>
        <w:jc w:val="both"/>
        <w:rPr>
          <w:rFonts w:ascii="Arial" w:hAnsi="Arial" w:cs="Arial"/>
          <w:b/>
          <w:bCs/>
        </w:rPr>
      </w:pPr>
    </w:p>
    <w:p w14:paraId="54BF415C" w14:textId="77777777" w:rsidR="0084634C" w:rsidRPr="00EE60BF" w:rsidRDefault="0084634C" w:rsidP="0084634C">
      <w:pPr>
        <w:pStyle w:val="Odstavecseseznamem"/>
        <w:numPr>
          <w:ilvl w:val="0"/>
          <w:numId w:val="56"/>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 36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2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daňovou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evidovanou</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a</w:t>
      </w:r>
    </w:p>
    <w:p w14:paraId="483B4475" w14:textId="77777777" w:rsidR="0084634C" w:rsidRPr="00EE60BF" w:rsidRDefault="0084634C" w:rsidP="0084634C">
      <w:pPr>
        <w:pStyle w:val="Odstavecseseznamem"/>
        <w:numPr>
          <w:ilvl w:val="0"/>
          <w:numId w:val="56"/>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 10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8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součtem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účetní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zachycené</w:t>
      </w:r>
      <w:proofErr w:type="spellEnd"/>
      <w:r w:rsidRPr="00EE60BF">
        <w:rPr>
          <w:rFonts w:ascii="Arial" w:hAnsi="Arial" w:cs="Arial"/>
          <w:b/>
          <w:bCs/>
          <w:sz w:val="24"/>
          <w:szCs w:val="24"/>
        </w:rPr>
        <w:t xml:space="preserve"> v </w:t>
      </w:r>
      <w:proofErr w:type="spellStart"/>
      <w:r w:rsidRPr="00EE60BF">
        <w:rPr>
          <w:rFonts w:ascii="Arial" w:hAnsi="Arial" w:cs="Arial"/>
          <w:b/>
          <w:bCs/>
          <w:sz w:val="24"/>
          <w:szCs w:val="24"/>
        </w:rPr>
        <w:t>účetnictví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lastRenderedPageBreak/>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a </w:t>
      </w:r>
      <w:proofErr w:type="spellStart"/>
      <w:r w:rsidRPr="00EE60BF">
        <w:rPr>
          <w:rFonts w:ascii="Arial" w:hAnsi="Arial" w:cs="Arial"/>
          <w:b/>
          <w:bCs/>
          <w:sz w:val="24"/>
          <w:szCs w:val="24"/>
        </w:rPr>
        <w:t>daňové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evidované</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xml:space="preserve">. </w:t>
      </w:r>
    </w:p>
    <w:p w14:paraId="24BE2269" w14:textId="77777777" w:rsidR="0084634C" w:rsidRDefault="0084634C" w:rsidP="0084634C">
      <w:pPr>
        <w:jc w:val="both"/>
        <w:rPr>
          <w:rFonts w:ascii="Arial" w:hAnsi="Arial" w:cs="Arial"/>
          <w:b/>
          <w:bCs/>
        </w:rPr>
      </w:pPr>
      <w:proofErr w:type="spellStart"/>
      <w:r w:rsidRPr="00EE60BF">
        <w:rPr>
          <w:rFonts w:ascii="Arial" w:hAnsi="Arial" w:cs="Arial"/>
          <w:b/>
          <w:bCs/>
        </w:rPr>
        <w:t>Vzhledem</w:t>
      </w:r>
      <w:proofErr w:type="spellEnd"/>
      <w:r w:rsidRPr="00EE60BF">
        <w:rPr>
          <w:rFonts w:ascii="Arial" w:hAnsi="Arial" w:cs="Arial"/>
          <w:b/>
          <w:bCs/>
        </w:rPr>
        <w:t xml:space="preserve"> k </w:t>
      </w:r>
      <w:proofErr w:type="spellStart"/>
      <w:r w:rsidRPr="00EE60BF">
        <w:rPr>
          <w:rFonts w:ascii="Arial" w:hAnsi="Arial" w:cs="Arial"/>
          <w:b/>
          <w:bCs/>
        </w:rPr>
        <w:t>tomu</w:t>
      </w:r>
      <w:proofErr w:type="spellEnd"/>
      <w:r w:rsidRPr="00EE60BF">
        <w:rPr>
          <w:rFonts w:ascii="Arial" w:hAnsi="Arial" w:cs="Arial"/>
          <w:b/>
          <w:bCs/>
        </w:rPr>
        <w:t xml:space="preserve">, </w:t>
      </w:r>
      <w:proofErr w:type="spellStart"/>
      <w:r w:rsidRPr="00EE60BF">
        <w:rPr>
          <w:rFonts w:ascii="Arial" w:hAnsi="Arial" w:cs="Arial"/>
          <w:b/>
          <w:bCs/>
        </w:rPr>
        <w:t>že</w:t>
      </w:r>
      <w:proofErr w:type="spellEnd"/>
      <w:r w:rsidRPr="00EE60BF">
        <w:rPr>
          <w:rFonts w:ascii="Arial" w:hAnsi="Arial" w:cs="Arial"/>
          <w:b/>
          <w:bCs/>
        </w:rPr>
        <w:t xml:space="preserve">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zdanění</w:t>
      </w:r>
      <w:proofErr w:type="spellEnd"/>
      <w:r w:rsidRPr="00EE60BF">
        <w:rPr>
          <w:rFonts w:ascii="Arial" w:hAnsi="Arial" w:cs="Arial"/>
          <w:b/>
          <w:bCs/>
        </w:rPr>
        <w:t xml:space="preserve">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daní</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ZDP, </w:t>
      </w:r>
      <w:proofErr w:type="spellStart"/>
      <w:r w:rsidRPr="00EE60BF">
        <w:rPr>
          <w:rFonts w:ascii="Arial" w:hAnsi="Arial" w:cs="Arial"/>
          <w:b/>
          <w:bCs/>
        </w:rPr>
        <w:t>nemá</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v </w:t>
      </w:r>
      <w:proofErr w:type="spellStart"/>
      <w:r w:rsidRPr="00EE60BF">
        <w:rPr>
          <w:rFonts w:ascii="Arial" w:hAnsi="Arial" w:cs="Arial"/>
          <w:b/>
          <w:bCs/>
        </w:rPr>
        <w:t>případě</w:t>
      </w:r>
      <w:proofErr w:type="spellEnd"/>
      <w:r w:rsidRPr="00EE60BF">
        <w:rPr>
          <w:rFonts w:ascii="Arial" w:hAnsi="Arial" w:cs="Arial"/>
          <w:b/>
          <w:bCs/>
        </w:rPr>
        <w:t xml:space="preserve"> </w:t>
      </w:r>
      <w:proofErr w:type="spellStart"/>
      <w:r w:rsidRPr="00EE60BF">
        <w:rPr>
          <w:rFonts w:ascii="Arial" w:hAnsi="Arial" w:cs="Arial"/>
          <w:b/>
          <w:bCs/>
        </w:rPr>
        <w:t>vyplacení</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likvidačním</w:t>
      </w:r>
      <w:proofErr w:type="spellEnd"/>
      <w:r w:rsidRPr="00EE60BF">
        <w:rPr>
          <w:rFonts w:ascii="Arial" w:hAnsi="Arial" w:cs="Arial"/>
          <w:b/>
          <w:bCs/>
        </w:rPr>
        <w:t xml:space="preserve"> </w:t>
      </w:r>
      <w:proofErr w:type="spellStart"/>
      <w:r w:rsidRPr="00EE60BF">
        <w:rPr>
          <w:rFonts w:ascii="Arial" w:hAnsi="Arial" w:cs="Arial"/>
          <w:b/>
          <w:bCs/>
        </w:rPr>
        <w:t>zůstatku</w:t>
      </w:r>
      <w:proofErr w:type="spellEnd"/>
      <w:r w:rsidRPr="00EE60BF">
        <w:rPr>
          <w:rFonts w:ascii="Arial" w:hAnsi="Arial" w:cs="Arial"/>
          <w:b/>
          <w:bCs/>
        </w:rPr>
        <w:t xml:space="preserve"> v </w:t>
      </w:r>
      <w:proofErr w:type="spellStart"/>
      <w:r w:rsidRPr="00EE60BF">
        <w:rPr>
          <w:rFonts w:ascii="Arial" w:hAnsi="Arial" w:cs="Arial"/>
          <w:b/>
          <w:bCs/>
        </w:rPr>
        <w:t>nepeněžní</w:t>
      </w:r>
      <w:proofErr w:type="spellEnd"/>
      <w:r w:rsidRPr="00EE60BF">
        <w:rPr>
          <w:rFonts w:ascii="Arial" w:hAnsi="Arial" w:cs="Arial"/>
          <w:b/>
          <w:bCs/>
        </w:rPr>
        <w:t xml:space="preserve"> </w:t>
      </w:r>
      <w:proofErr w:type="spellStart"/>
      <w:r w:rsidRPr="00EE60BF">
        <w:rPr>
          <w:rFonts w:ascii="Arial" w:hAnsi="Arial" w:cs="Arial"/>
          <w:b/>
          <w:bCs/>
        </w:rPr>
        <w:t>formě</w:t>
      </w:r>
      <w:proofErr w:type="spellEnd"/>
      <w:r w:rsidRPr="00EE60BF">
        <w:rPr>
          <w:rFonts w:ascii="Arial" w:hAnsi="Arial" w:cs="Arial"/>
          <w:b/>
          <w:bCs/>
        </w:rPr>
        <w:t xml:space="preserve"> </w:t>
      </w:r>
      <w:proofErr w:type="spellStart"/>
      <w:r w:rsidRPr="00EE60BF">
        <w:rPr>
          <w:rFonts w:ascii="Arial" w:hAnsi="Arial" w:cs="Arial"/>
          <w:b/>
          <w:bCs/>
        </w:rPr>
        <w:t>povinnost</w:t>
      </w:r>
      <w:proofErr w:type="spellEnd"/>
      <w:r w:rsidRPr="00EE60BF">
        <w:rPr>
          <w:rFonts w:ascii="Arial" w:hAnsi="Arial" w:cs="Arial"/>
          <w:b/>
          <w:bCs/>
        </w:rPr>
        <w:t xml:space="preserve">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a </w:t>
      </w:r>
      <w:proofErr w:type="spellStart"/>
      <w:r w:rsidRPr="00EE60BF">
        <w:rPr>
          <w:rFonts w:ascii="Arial" w:hAnsi="Arial" w:cs="Arial"/>
          <w:b/>
          <w:bCs/>
        </w:rPr>
        <w:t>sražená</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je </w:t>
      </w:r>
      <w:proofErr w:type="spellStart"/>
      <w:r w:rsidRPr="00EE60BF">
        <w:rPr>
          <w:rFonts w:ascii="Arial" w:hAnsi="Arial" w:cs="Arial"/>
          <w:b/>
          <w:bCs/>
        </w:rPr>
        <w:t>konečná</w:t>
      </w:r>
      <w:proofErr w:type="spellEnd"/>
      <w:r w:rsidRPr="00EE60BF">
        <w:rPr>
          <w:rFonts w:ascii="Arial" w:hAnsi="Arial" w:cs="Arial"/>
          <w:b/>
          <w:bCs/>
        </w:rPr>
        <w:t>.</w:t>
      </w:r>
    </w:p>
    <w:p w14:paraId="2D3ACAD2" w14:textId="77777777" w:rsidR="0084634C" w:rsidRPr="00EE60BF" w:rsidRDefault="0084634C" w:rsidP="0084634C">
      <w:pPr>
        <w:jc w:val="both"/>
        <w:rPr>
          <w:rFonts w:ascii="Arial" w:hAnsi="Arial" w:cs="Arial"/>
          <w:b/>
          <w:bCs/>
        </w:rPr>
      </w:pPr>
    </w:p>
    <w:p w14:paraId="4383A85D" w14:textId="77777777" w:rsidR="0084634C" w:rsidRPr="00EE60BF" w:rsidRDefault="0084634C" w:rsidP="0084634C">
      <w:pPr>
        <w:pStyle w:val="Odstavecseseznamem"/>
        <w:numPr>
          <w:ilvl w:val="0"/>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právnické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2CDEDBF7"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7CA966F2" w14:textId="77777777" w:rsidR="0084634C" w:rsidRPr="00EE60BF" w:rsidRDefault="0084634C" w:rsidP="0084634C">
      <w:pPr>
        <w:jc w:val="both"/>
        <w:rPr>
          <w:rFonts w:ascii="Arial" w:hAnsi="Arial" w:cs="Arial"/>
        </w:rPr>
      </w:pPr>
      <w:r w:rsidRPr="00EE60BF">
        <w:rPr>
          <w:rFonts w:ascii="Arial" w:hAnsi="Arial" w:cs="Arial"/>
        </w:rPr>
        <w:t xml:space="preserve">Na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legislativní</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a § 10 ZDP </w:t>
      </w:r>
      <w:proofErr w:type="spellStart"/>
      <w:r w:rsidRPr="00EE60BF">
        <w:rPr>
          <w:rFonts w:ascii="Arial" w:hAnsi="Arial" w:cs="Arial"/>
        </w:rPr>
        <w:t>neobsahuje</w:t>
      </w:r>
      <w:proofErr w:type="spellEnd"/>
      <w:r w:rsidRPr="00EE60BF">
        <w:rPr>
          <w:rFonts w:ascii="Arial" w:hAnsi="Arial" w:cs="Arial"/>
        </w:rPr>
        <w:t xml:space="preserve"> </w:t>
      </w:r>
      <w:proofErr w:type="spellStart"/>
      <w:r w:rsidRPr="00EE60BF">
        <w:rPr>
          <w:rFonts w:ascii="Arial" w:hAnsi="Arial" w:cs="Arial"/>
        </w:rPr>
        <w:t>část</w:t>
      </w:r>
      <w:proofErr w:type="spellEnd"/>
      <w:r w:rsidRPr="00EE60BF">
        <w:rPr>
          <w:rFonts w:ascii="Arial" w:hAnsi="Arial" w:cs="Arial"/>
        </w:rPr>
        <w:t xml:space="preserve"> </w:t>
      </w:r>
      <w:proofErr w:type="spellStart"/>
      <w:r w:rsidRPr="00EE60BF">
        <w:rPr>
          <w:rFonts w:ascii="Arial" w:hAnsi="Arial" w:cs="Arial"/>
        </w:rPr>
        <w:t>druhá</w:t>
      </w:r>
      <w:proofErr w:type="spellEnd"/>
      <w:r w:rsidRPr="00EE60BF">
        <w:rPr>
          <w:rFonts w:ascii="Arial" w:hAnsi="Arial" w:cs="Arial"/>
        </w:rPr>
        <w:t xml:space="preserve"> ZDP, </w:t>
      </w:r>
      <w:proofErr w:type="spellStart"/>
      <w:r w:rsidRPr="00EE60BF">
        <w:rPr>
          <w:rFonts w:ascii="Arial" w:hAnsi="Arial" w:cs="Arial"/>
        </w:rPr>
        <w:t>která</w:t>
      </w:r>
      <w:proofErr w:type="spellEnd"/>
      <w:r w:rsidRPr="00EE60BF">
        <w:rPr>
          <w:rFonts w:ascii="Arial" w:hAnsi="Arial" w:cs="Arial"/>
        </w:rPr>
        <w:t xml:space="preserve"> se </w:t>
      </w:r>
      <w:proofErr w:type="spellStart"/>
      <w:r w:rsidRPr="00EE60BF">
        <w:rPr>
          <w:rFonts w:ascii="Arial" w:hAnsi="Arial" w:cs="Arial"/>
        </w:rPr>
        <w:t>týká</w:t>
      </w:r>
      <w:proofErr w:type="spellEnd"/>
      <w:r w:rsidRPr="00EE60BF">
        <w:rPr>
          <w:rFonts w:ascii="Arial" w:hAnsi="Arial" w:cs="Arial"/>
        </w:rPr>
        <w:t xml:space="preserve"> DPPO, </w:t>
      </w:r>
      <w:proofErr w:type="spellStart"/>
      <w:r w:rsidRPr="00EE60BF">
        <w:rPr>
          <w:rFonts w:ascii="Arial" w:hAnsi="Arial" w:cs="Arial"/>
        </w:rPr>
        <w:t>jakoukoliv</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v </w:t>
      </w:r>
      <w:proofErr w:type="spellStart"/>
      <w:r w:rsidRPr="00EE60BF">
        <w:rPr>
          <w:rFonts w:ascii="Arial" w:hAnsi="Arial" w:cs="Arial"/>
        </w:rPr>
        <w:t>podobě</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proto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obsažená</w:t>
      </w:r>
      <w:proofErr w:type="spellEnd"/>
      <w:r w:rsidRPr="00EE60BF">
        <w:rPr>
          <w:rFonts w:ascii="Arial" w:hAnsi="Arial" w:cs="Arial"/>
        </w:rPr>
        <w:t xml:space="preserve"> ve </w:t>
      </w:r>
      <w:proofErr w:type="spellStart"/>
      <w:r w:rsidRPr="00EE60BF">
        <w:rPr>
          <w:rFonts w:ascii="Arial" w:hAnsi="Arial" w:cs="Arial"/>
        </w:rPr>
        <w:t>společné</w:t>
      </w:r>
      <w:proofErr w:type="spellEnd"/>
      <w:r w:rsidRPr="00EE60BF">
        <w:rPr>
          <w:rFonts w:ascii="Arial" w:hAnsi="Arial" w:cs="Arial"/>
        </w:rPr>
        <w:t xml:space="preserve"> </w:t>
      </w:r>
      <w:proofErr w:type="spellStart"/>
      <w:r w:rsidRPr="00EE60BF">
        <w:rPr>
          <w:rFonts w:ascii="Arial" w:hAnsi="Arial" w:cs="Arial"/>
        </w:rPr>
        <w:t>třetí</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ZDP.</w:t>
      </w:r>
    </w:p>
    <w:p w14:paraId="09DF586A" w14:textId="77777777" w:rsidR="0084634C" w:rsidRDefault="0084634C" w:rsidP="0084634C">
      <w:pPr>
        <w:jc w:val="both"/>
        <w:rPr>
          <w:rFonts w:ascii="Arial" w:hAnsi="Arial" w:cs="Arial"/>
        </w:rPr>
      </w:pPr>
    </w:p>
    <w:p w14:paraId="584F8FC8" w14:textId="77777777" w:rsidR="0084634C" w:rsidRPr="00EE60BF" w:rsidRDefault="0084634C" w:rsidP="0084634C">
      <w:pPr>
        <w:jc w:val="both"/>
        <w:rPr>
          <w:rFonts w:ascii="Arial" w:hAnsi="Arial" w:cs="Arial"/>
        </w:rPr>
      </w:pPr>
      <w:r w:rsidRPr="00EE60BF">
        <w:rPr>
          <w:rFonts w:ascii="Arial" w:hAnsi="Arial" w:cs="Arial"/>
        </w:rPr>
        <w:t xml:space="preserve">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výsledek</w:t>
      </w:r>
      <w:proofErr w:type="spellEnd"/>
      <w:r w:rsidRPr="00EE60BF">
        <w:rPr>
          <w:rFonts w:ascii="Arial" w:hAnsi="Arial" w:cs="Arial"/>
        </w:rPr>
        <w:t xml:space="preserve"> </w:t>
      </w:r>
      <w:proofErr w:type="spellStart"/>
      <w:r w:rsidRPr="00EE60BF">
        <w:rPr>
          <w:rFonts w:ascii="Arial" w:hAnsi="Arial" w:cs="Arial"/>
        </w:rPr>
        <w:t>hospodaření</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a </w:t>
      </w:r>
      <w:proofErr w:type="spellStart"/>
      <w:r w:rsidRPr="00EE60BF">
        <w:rPr>
          <w:rFonts w:ascii="Arial" w:hAnsi="Arial" w:cs="Arial"/>
        </w:rPr>
        <w:t>výdaji</w:t>
      </w:r>
      <w:proofErr w:type="spellEnd"/>
      <w:r w:rsidRPr="00EE60BF">
        <w:rPr>
          <w:rFonts w:ascii="Arial" w:hAnsi="Arial" w:cs="Arial"/>
        </w:rPr>
        <w:t xml:space="preserve"> se </w:t>
      </w:r>
      <w:proofErr w:type="spellStart"/>
      <w:r w:rsidRPr="00EE60BF">
        <w:rPr>
          <w:rFonts w:ascii="Arial" w:hAnsi="Arial" w:cs="Arial"/>
        </w:rPr>
        <w:t>zvyšuje</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kterým</w:t>
      </w:r>
      <w:proofErr w:type="spellEnd"/>
      <w:r w:rsidRPr="00EE60BF">
        <w:rPr>
          <w:rFonts w:ascii="Arial" w:hAnsi="Arial" w:cs="Arial"/>
        </w:rPr>
        <w:t xml:space="preserve"> je </w:t>
      </w:r>
      <w:proofErr w:type="spellStart"/>
      <w:r w:rsidRPr="00EE60BF">
        <w:rPr>
          <w:rFonts w:ascii="Arial" w:hAnsi="Arial" w:cs="Arial"/>
        </w:rPr>
        <w:t>vypořádáván</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účetnictví</w:t>
      </w:r>
      <w:proofErr w:type="spellEnd"/>
      <w:r w:rsidRPr="00EE60BF">
        <w:rPr>
          <w:rFonts w:ascii="Arial" w:hAnsi="Arial" w:cs="Arial"/>
        </w:rPr>
        <w:t xml:space="preserve">, a to u </w:t>
      </w:r>
      <w:proofErr w:type="spellStart"/>
      <w:r w:rsidRPr="00EE60BF">
        <w:rPr>
          <w:rFonts w:ascii="Arial" w:hAnsi="Arial" w:cs="Arial"/>
        </w:rPr>
        <w:t>poplatníka</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členem</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w:t>
      </w:r>
    </w:p>
    <w:p w14:paraId="7F4BCB1D" w14:textId="77777777" w:rsidR="0084634C" w:rsidRDefault="0084634C" w:rsidP="0084634C">
      <w:pPr>
        <w:jc w:val="both"/>
        <w:rPr>
          <w:rFonts w:ascii="Arial" w:hAnsi="Arial" w:cs="Arial"/>
        </w:rPr>
      </w:pPr>
    </w:p>
    <w:p w14:paraId="19BC011D" w14:textId="77777777" w:rsidR="0084634C" w:rsidRPr="00EE60BF" w:rsidRDefault="0084634C" w:rsidP="0084634C">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se za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považuje</w:t>
      </w:r>
      <w:proofErr w:type="spellEnd"/>
      <w:r w:rsidRPr="00EE60BF">
        <w:rPr>
          <w:rFonts w:ascii="Arial" w:hAnsi="Arial" w:cs="Arial"/>
        </w:rPr>
        <w:t xml:space="preserve"> jak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oceněné</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jde</w:t>
      </w:r>
      <w:proofErr w:type="spellEnd"/>
      <w:r w:rsidRPr="00EE60BF">
        <w:rPr>
          <w:rFonts w:ascii="Arial" w:hAnsi="Arial" w:cs="Arial"/>
        </w:rPr>
        <w:t xml:space="preserve"> 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shodné</w:t>
      </w:r>
      <w:proofErr w:type="spellEnd"/>
      <w:r w:rsidRPr="00EE60BF">
        <w:rPr>
          <w:rFonts w:ascii="Arial" w:hAnsi="Arial" w:cs="Arial"/>
        </w:rPr>
        <w:t xml:space="preserve"> s </w:t>
      </w:r>
      <w:proofErr w:type="spellStart"/>
      <w:r w:rsidRPr="00EE60BF">
        <w:rPr>
          <w:rFonts w:ascii="Arial" w:hAnsi="Arial" w:cs="Arial"/>
        </w:rPr>
        <w:t>ustanovením</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3 ZDP.</w:t>
      </w:r>
    </w:p>
    <w:p w14:paraId="5C836676" w14:textId="77777777" w:rsidR="0084634C" w:rsidRDefault="0084634C" w:rsidP="0084634C">
      <w:pPr>
        <w:pStyle w:val="Odstavecseseznamem"/>
        <w:spacing w:after="160" w:line="259" w:lineRule="auto"/>
        <w:ind w:left="567"/>
        <w:contextualSpacing/>
        <w:rPr>
          <w:rFonts w:ascii="Arial" w:hAnsi="Arial" w:cs="Arial"/>
          <w:b/>
          <w:bCs/>
          <w:sz w:val="24"/>
          <w:szCs w:val="24"/>
        </w:rPr>
      </w:pPr>
    </w:p>
    <w:p w14:paraId="37FEAE29"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p>
    <w:p w14:paraId="406C26F2" w14:textId="77777777" w:rsidR="0084634C" w:rsidRDefault="0084634C" w:rsidP="0084634C">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nerozlišuje</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tím</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je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pro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nepeněžité</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shodná</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Proto se i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jak je </w:t>
      </w:r>
      <w:proofErr w:type="spellStart"/>
      <w:r w:rsidRPr="00EE60BF">
        <w:rPr>
          <w:rFonts w:ascii="Arial" w:hAnsi="Arial" w:cs="Arial"/>
        </w:rPr>
        <w:t>definována</w:t>
      </w:r>
      <w:proofErr w:type="spellEnd"/>
      <w:r w:rsidRPr="00EE60BF">
        <w:rPr>
          <w:rFonts w:ascii="Arial" w:hAnsi="Arial" w:cs="Arial"/>
        </w:rPr>
        <w:t xml:space="preserve"> v § 2 </w:t>
      </w:r>
      <w:proofErr w:type="spellStart"/>
      <w:r w:rsidRPr="00EE60BF">
        <w:rPr>
          <w:rFonts w:ascii="Arial" w:hAnsi="Arial" w:cs="Arial"/>
        </w:rPr>
        <w:t>odst</w:t>
      </w:r>
      <w:proofErr w:type="spellEnd"/>
      <w:r w:rsidRPr="00EE60BF">
        <w:rPr>
          <w:rFonts w:ascii="Arial" w:hAnsi="Arial" w:cs="Arial"/>
        </w:rPr>
        <w:t xml:space="preserve">. 4 ZOM. 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je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vypláceného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3.000, </w:t>
      </w:r>
      <w:proofErr w:type="spellStart"/>
      <w:r w:rsidRPr="00EE60BF">
        <w:rPr>
          <w:rFonts w:ascii="Arial" w:hAnsi="Arial" w:cs="Arial"/>
        </w:rPr>
        <w:t>pak</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je 5.000 – 3.000 =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je 300.</w:t>
      </w:r>
    </w:p>
    <w:p w14:paraId="101EF9C5" w14:textId="77777777" w:rsidR="0084634C" w:rsidRPr="00EE60BF" w:rsidRDefault="0084634C" w:rsidP="0084634C">
      <w:pPr>
        <w:jc w:val="both"/>
        <w:rPr>
          <w:rFonts w:ascii="Arial" w:hAnsi="Arial" w:cs="Arial"/>
        </w:rPr>
      </w:pPr>
    </w:p>
    <w:p w14:paraId="0F60A49B"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p>
    <w:p w14:paraId="09977DF7" w14:textId="77777777" w:rsidR="0084634C" w:rsidRDefault="0084634C" w:rsidP="0084634C">
      <w:pPr>
        <w:jc w:val="both"/>
        <w:rPr>
          <w:rFonts w:ascii="Arial" w:hAnsi="Arial" w:cs="Arial"/>
        </w:rPr>
      </w:pPr>
      <w:r w:rsidRPr="00EE60BF">
        <w:rPr>
          <w:rFonts w:ascii="Arial" w:hAnsi="Arial" w:cs="Arial"/>
        </w:rPr>
        <w:t>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 se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uplatní</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kterého</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povinnost</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nepeněžního</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se </w:t>
      </w:r>
      <w:proofErr w:type="spellStart"/>
      <w:r w:rsidRPr="00EE60BF">
        <w:rPr>
          <w:rFonts w:ascii="Arial" w:hAnsi="Arial" w:cs="Arial"/>
        </w:rPr>
        <w:t>vychází</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převáděného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Společník</w:t>
      </w:r>
      <w:proofErr w:type="spellEnd"/>
      <w:r w:rsidRPr="00EE60BF">
        <w:rPr>
          <w:rFonts w:ascii="Arial" w:hAnsi="Arial" w:cs="Arial"/>
        </w:rPr>
        <w:t xml:space="preserve"> by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měl</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3.000.</w:t>
      </w:r>
    </w:p>
    <w:p w14:paraId="13C8344A" w14:textId="77777777" w:rsidR="0084634C" w:rsidRPr="00EE60BF" w:rsidRDefault="0084634C" w:rsidP="0084634C">
      <w:pPr>
        <w:jc w:val="both"/>
        <w:rPr>
          <w:rFonts w:ascii="Arial" w:hAnsi="Arial" w:cs="Arial"/>
        </w:rPr>
      </w:pPr>
    </w:p>
    <w:p w14:paraId="028AC045" w14:textId="77777777" w:rsidR="0084634C" w:rsidRPr="00EE60BF" w:rsidRDefault="0084634C" w:rsidP="0084634C">
      <w:pPr>
        <w:jc w:val="both"/>
        <w:rPr>
          <w:rFonts w:ascii="Arial" w:hAnsi="Arial" w:cs="Arial"/>
        </w:rPr>
      </w:pPr>
      <w:proofErr w:type="spellStart"/>
      <w:r w:rsidRPr="00EE60BF">
        <w:rPr>
          <w:rFonts w:ascii="Arial" w:hAnsi="Arial" w:cs="Arial"/>
        </w:rPr>
        <w:lastRenderedPageBreak/>
        <w:t>Stejně</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předpokládat</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cílem</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zdanit</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Proto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neumožňuje</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o </w:t>
      </w:r>
      <w:proofErr w:type="spellStart"/>
      <w:r w:rsidRPr="00EE60BF">
        <w:rPr>
          <w:rFonts w:ascii="Arial" w:hAnsi="Arial" w:cs="Arial"/>
        </w:rPr>
        <w:t>tu</w:t>
      </w:r>
      <w:proofErr w:type="spellEnd"/>
      <w:r w:rsidRPr="00EE60BF">
        <w:rPr>
          <w:rFonts w:ascii="Arial" w:hAnsi="Arial" w:cs="Arial"/>
        </w:rPr>
        <w:t xml:space="preserve"> </w:t>
      </w:r>
      <w:proofErr w:type="spellStart"/>
      <w:r w:rsidRPr="00EE60BF">
        <w:rPr>
          <w:rFonts w:ascii="Arial" w:hAnsi="Arial" w:cs="Arial"/>
        </w:rPr>
        <w:t>už</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a </w:t>
      </w:r>
      <w:proofErr w:type="spellStart"/>
      <w:r w:rsidRPr="00EE60BF">
        <w:rPr>
          <w:rFonts w:ascii="Arial" w:hAnsi="Arial" w:cs="Arial"/>
        </w:rPr>
        <w:t>docházelo</w:t>
      </w:r>
      <w:proofErr w:type="spellEnd"/>
      <w:r w:rsidRPr="00EE60BF">
        <w:rPr>
          <w:rFonts w:ascii="Arial" w:hAnsi="Arial" w:cs="Arial"/>
        </w:rPr>
        <w:t xml:space="preserve"> by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dvojímu</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stejného</w:t>
      </w:r>
      <w:proofErr w:type="spellEnd"/>
      <w:r w:rsidRPr="00EE60BF">
        <w:rPr>
          <w:rFonts w:ascii="Arial" w:hAnsi="Arial" w:cs="Arial"/>
        </w:rPr>
        <w:t xml:space="preserve"> </w:t>
      </w:r>
      <w:proofErr w:type="spellStart"/>
      <w:r w:rsidRPr="00EE60BF">
        <w:rPr>
          <w:rFonts w:ascii="Arial" w:hAnsi="Arial" w:cs="Arial"/>
        </w:rPr>
        <w:t>nákladu</w:t>
      </w:r>
      <w:proofErr w:type="spellEnd"/>
      <w:r w:rsidRPr="00EE60BF">
        <w:rPr>
          <w:rFonts w:ascii="Arial" w:hAnsi="Arial" w:cs="Arial"/>
        </w:rPr>
        <w:t xml:space="preserve"> u </w:t>
      </w:r>
      <w:proofErr w:type="spellStart"/>
      <w:r w:rsidRPr="00EE60BF">
        <w:rPr>
          <w:rFonts w:ascii="Arial" w:hAnsi="Arial" w:cs="Arial"/>
        </w:rPr>
        <w:t>dvou</w:t>
      </w:r>
      <w:proofErr w:type="spellEnd"/>
      <w:r w:rsidRPr="00EE60BF">
        <w:rPr>
          <w:rFonts w:ascii="Arial" w:hAnsi="Arial" w:cs="Arial"/>
        </w:rPr>
        <w:t xml:space="preserve"> </w:t>
      </w:r>
      <w:proofErr w:type="spellStart"/>
      <w:r w:rsidRPr="00EE60BF">
        <w:rPr>
          <w:rFonts w:ascii="Arial" w:hAnsi="Arial" w:cs="Arial"/>
        </w:rPr>
        <w:t>různých</w:t>
      </w:r>
      <w:proofErr w:type="spellEnd"/>
      <w:r w:rsidRPr="00EE60BF">
        <w:rPr>
          <w:rFonts w:ascii="Arial" w:hAnsi="Arial" w:cs="Arial"/>
        </w:rPr>
        <w:t xml:space="preserve"> </w:t>
      </w:r>
      <w:proofErr w:type="spellStart"/>
      <w:r w:rsidRPr="00EE60BF">
        <w:rPr>
          <w:rFonts w:ascii="Arial" w:hAnsi="Arial" w:cs="Arial"/>
        </w:rPr>
        <w:t>základů</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nelze</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za </w:t>
      </w:r>
      <w:proofErr w:type="spellStart"/>
      <w:r w:rsidRPr="00EE60BF">
        <w:rPr>
          <w:rFonts w:ascii="Arial" w:hAnsi="Arial" w:cs="Arial"/>
        </w:rPr>
        <w:t>analogickou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4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zatímco</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hovoří</w:t>
      </w:r>
      <w:proofErr w:type="spellEnd"/>
      <w:r w:rsidRPr="00EE60BF">
        <w:rPr>
          <w:rFonts w:ascii="Arial" w:hAnsi="Arial" w:cs="Arial"/>
        </w:rPr>
        <w:t xml:space="preserve"> o „</w:t>
      </w:r>
      <w:proofErr w:type="spellStart"/>
      <w:proofErr w:type="gramStart"/>
      <w:r w:rsidRPr="00EE60BF">
        <w:rPr>
          <w:rFonts w:ascii="Arial" w:hAnsi="Arial" w:cs="Arial"/>
        </w:rPr>
        <w:t>příjmu</w:t>
      </w:r>
      <w:proofErr w:type="spellEnd"/>
      <w:r w:rsidRPr="00EE60BF">
        <w:rPr>
          <w:rFonts w:ascii="Arial" w:hAnsi="Arial" w:cs="Arial"/>
        </w:rPr>
        <w:t>“</w:t>
      </w:r>
      <w:proofErr w:type="gram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ZDP </w:t>
      </w:r>
      <w:proofErr w:type="spellStart"/>
      <w:r w:rsidRPr="00EE60BF">
        <w:rPr>
          <w:rFonts w:ascii="Arial" w:hAnsi="Arial" w:cs="Arial"/>
        </w:rPr>
        <w:t>hovoří</w:t>
      </w:r>
      <w:proofErr w:type="spellEnd"/>
      <w:r w:rsidRPr="00EE60BF">
        <w:rPr>
          <w:rFonts w:ascii="Arial" w:hAnsi="Arial" w:cs="Arial"/>
        </w:rPr>
        <w:t xml:space="preserve"> o „</w:t>
      </w:r>
      <w:proofErr w:type="spellStart"/>
      <w:r w:rsidRPr="00EE60BF">
        <w:rPr>
          <w:rFonts w:ascii="Arial" w:hAnsi="Arial" w:cs="Arial"/>
        </w:rPr>
        <w:t>zvýšení</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proofErr w:type="gramStart"/>
      <w:r w:rsidRPr="00EE60BF">
        <w:rPr>
          <w:rFonts w:ascii="Arial" w:hAnsi="Arial" w:cs="Arial"/>
        </w:rPr>
        <w:t>daně</w:t>
      </w:r>
      <w:proofErr w:type="spellEnd"/>
      <w:r w:rsidRPr="00EE60BF">
        <w:rPr>
          <w:rFonts w:ascii="Arial" w:hAnsi="Arial" w:cs="Arial"/>
        </w:rPr>
        <w:t>“</w:t>
      </w:r>
      <w:proofErr w:type="gramEnd"/>
      <w:r w:rsidRPr="00EE60BF">
        <w:rPr>
          <w:rFonts w:ascii="Arial" w:hAnsi="Arial" w:cs="Arial"/>
        </w:rPr>
        <w:t>.</w:t>
      </w:r>
    </w:p>
    <w:p w14:paraId="1FFED230" w14:textId="77777777" w:rsidR="0084634C" w:rsidRDefault="0084634C" w:rsidP="0084634C">
      <w:pPr>
        <w:jc w:val="both"/>
        <w:rPr>
          <w:rFonts w:ascii="Arial" w:hAnsi="Arial" w:cs="Arial"/>
        </w:rPr>
      </w:pPr>
    </w:p>
    <w:p w14:paraId="0DD23AFC" w14:textId="77777777" w:rsidR="0084634C" w:rsidRPr="00EE60BF" w:rsidRDefault="0084634C" w:rsidP="0084634C">
      <w:pPr>
        <w:jc w:val="both"/>
        <w:rPr>
          <w:rFonts w:ascii="Arial" w:hAnsi="Arial" w:cs="Arial"/>
        </w:rPr>
      </w:pPr>
      <w:proofErr w:type="spellStart"/>
      <w:r w:rsidRPr="00EE60BF">
        <w:rPr>
          <w:rFonts w:ascii="Arial" w:hAnsi="Arial" w:cs="Arial"/>
        </w:rPr>
        <w:t>Nicméně</w:t>
      </w:r>
      <w:proofErr w:type="spellEnd"/>
      <w:r w:rsidRPr="00EE60BF">
        <w:rPr>
          <w:rFonts w:ascii="Arial" w:hAnsi="Arial" w:cs="Arial"/>
        </w:rPr>
        <w:t xml:space="preserve"> 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i </w:t>
      </w:r>
      <w:proofErr w:type="spellStart"/>
      <w:r w:rsidRPr="00EE60BF">
        <w:rPr>
          <w:rFonts w:ascii="Arial" w:hAnsi="Arial" w:cs="Arial"/>
        </w:rPr>
        <w:t>opačný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i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pořizovací</w:t>
      </w:r>
      <w:proofErr w:type="spellEnd"/>
      <w:r w:rsidRPr="00EE60BF">
        <w:rPr>
          <w:rFonts w:ascii="Arial" w:hAnsi="Arial" w:cs="Arial"/>
        </w:rPr>
        <w:t xml:space="preserve"> (resp.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w:t>
      </w:r>
    </w:p>
    <w:p w14:paraId="552D7ADC" w14:textId="77777777" w:rsidR="0084634C" w:rsidRDefault="0084634C" w:rsidP="0084634C">
      <w:pPr>
        <w:jc w:val="both"/>
        <w:rPr>
          <w:rFonts w:ascii="Arial" w:hAnsi="Arial" w:cs="Arial"/>
        </w:rPr>
      </w:pPr>
    </w:p>
    <w:p w14:paraId="4CCF354B" w14:textId="77777777" w:rsidR="0084634C" w:rsidRPr="00EE60BF" w:rsidRDefault="0084634C" w:rsidP="0084634C">
      <w:pPr>
        <w:jc w:val="both"/>
        <w:rPr>
          <w:rFonts w:ascii="Arial" w:hAnsi="Arial" w:cs="Arial"/>
        </w:rPr>
      </w:pPr>
      <w:proofErr w:type="spellStart"/>
      <w:r w:rsidRPr="00EE60BF">
        <w:rPr>
          <w:rFonts w:ascii="Arial" w:hAnsi="Arial" w:cs="Arial"/>
        </w:rPr>
        <w:t>Výše</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a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byla</w:t>
      </w:r>
      <w:proofErr w:type="spellEnd"/>
      <w:r w:rsidRPr="00EE60BF">
        <w:rPr>
          <w:rFonts w:ascii="Arial" w:hAnsi="Arial" w:cs="Arial"/>
        </w:rPr>
        <w:t xml:space="preserve"> do ZDP </w:t>
      </w:r>
      <w:proofErr w:type="spellStart"/>
      <w:r w:rsidRPr="00EE60BF">
        <w:rPr>
          <w:rFonts w:ascii="Arial" w:hAnsi="Arial" w:cs="Arial"/>
        </w:rPr>
        <w:t>vložena</w:t>
      </w:r>
      <w:proofErr w:type="spellEnd"/>
      <w:r w:rsidRPr="00EE60BF">
        <w:rPr>
          <w:rFonts w:ascii="Arial" w:hAnsi="Arial" w:cs="Arial"/>
        </w:rPr>
        <w:t xml:space="preserve"> </w:t>
      </w:r>
      <w:proofErr w:type="spellStart"/>
      <w:r w:rsidRPr="00EE60BF">
        <w:rPr>
          <w:rFonts w:ascii="Arial" w:hAnsi="Arial" w:cs="Arial"/>
        </w:rPr>
        <w:t>novelou</w:t>
      </w:r>
      <w:proofErr w:type="spellEnd"/>
      <w:r w:rsidRPr="00EE60BF">
        <w:rPr>
          <w:rFonts w:ascii="Arial" w:hAnsi="Arial" w:cs="Arial"/>
        </w:rPr>
        <w:t xml:space="preserve"> č. 438/2003 Sb., </w:t>
      </w:r>
      <w:proofErr w:type="spellStart"/>
      <w:r w:rsidRPr="00EE60BF">
        <w:rPr>
          <w:rFonts w:ascii="Arial" w:hAnsi="Arial" w:cs="Arial"/>
        </w:rPr>
        <w:t>čl</w:t>
      </w:r>
      <w:proofErr w:type="spellEnd"/>
      <w:r w:rsidRPr="00EE60BF">
        <w:rPr>
          <w:rFonts w:ascii="Arial" w:hAnsi="Arial" w:cs="Arial"/>
        </w:rPr>
        <w:t xml:space="preserve">. I, bod 66: </w:t>
      </w:r>
      <w:r w:rsidRPr="00EE60BF">
        <w:rPr>
          <w:rFonts w:ascii="Arial" w:hAnsi="Arial" w:cs="Arial"/>
          <w:i/>
          <w:iCs/>
        </w:rPr>
        <w:t xml:space="preserve">V § 10 se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začátek</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8 </w:t>
      </w:r>
      <w:proofErr w:type="spellStart"/>
      <w:r w:rsidRPr="00EE60BF">
        <w:rPr>
          <w:rFonts w:ascii="Arial" w:hAnsi="Arial" w:cs="Arial"/>
          <w:i/>
          <w:iCs/>
        </w:rPr>
        <w:t>vkládají</w:t>
      </w:r>
      <w:proofErr w:type="spellEnd"/>
      <w:r w:rsidRPr="00EE60BF">
        <w:rPr>
          <w:rFonts w:ascii="Arial" w:hAnsi="Arial" w:cs="Arial"/>
          <w:i/>
          <w:iCs/>
        </w:rPr>
        <w:t xml:space="preserve"> </w:t>
      </w:r>
      <w:proofErr w:type="spellStart"/>
      <w:r w:rsidRPr="00EE60BF">
        <w:rPr>
          <w:rFonts w:ascii="Arial" w:hAnsi="Arial" w:cs="Arial"/>
          <w:i/>
          <w:iCs/>
        </w:rPr>
        <w:t>věty</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a g) je </w:t>
      </w:r>
      <w:proofErr w:type="spellStart"/>
      <w:r w:rsidRPr="00EE60BF">
        <w:rPr>
          <w:rFonts w:ascii="Arial" w:hAnsi="Arial" w:cs="Arial"/>
          <w:i/>
          <w:iCs/>
        </w:rPr>
        <w:t>také</w:t>
      </w:r>
      <w:proofErr w:type="spellEnd"/>
      <w:r w:rsidRPr="00EE60BF">
        <w:rPr>
          <w:rFonts w:ascii="Arial" w:hAnsi="Arial" w:cs="Arial"/>
          <w:i/>
          <w:iCs/>
        </w:rPr>
        <w:t xml:space="preserve"> </w:t>
      </w:r>
      <w:proofErr w:type="spellStart"/>
      <w:r w:rsidRPr="00EE60BF">
        <w:rPr>
          <w:rFonts w:ascii="Arial" w:hAnsi="Arial" w:cs="Arial"/>
          <w:i/>
          <w:iCs/>
          <w:u w:val="single"/>
        </w:rPr>
        <w:t>kladný</w:t>
      </w:r>
      <w:proofErr w:type="spellEnd"/>
      <w:r w:rsidRPr="00EE60BF">
        <w:rPr>
          <w:rFonts w:ascii="Arial" w:hAnsi="Arial" w:cs="Arial"/>
          <w:i/>
          <w:iCs/>
          <w:u w:val="single"/>
        </w:rPr>
        <w:t xml:space="preserve">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oceněním</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zvláštního</w:t>
      </w:r>
      <w:proofErr w:type="spellEnd"/>
      <w:r w:rsidRPr="00EE60BF">
        <w:rPr>
          <w:rFonts w:ascii="Arial" w:hAnsi="Arial" w:cs="Arial"/>
          <w:i/>
          <w:iCs/>
          <w:u w:val="single"/>
        </w:rPr>
        <w:t xml:space="preserve"> </w:t>
      </w:r>
      <w:proofErr w:type="spellStart"/>
      <w:r w:rsidRPr="00EE60BF">
        <w:rPr>
          <w:rFonts w:ascii="Arial" w:hAnsi="Arial" w:cs="Arial"/>
          <w:i/>
          <w:iCs/>
          <w:u w:val="single"/>
        </w:rPr>
        <w:t>právního</w:t>
      </w:r>
      <w:proofErr w:type="spellEnd"/>
      <w:r w:rsidRPr="00EE60BF">
        <w:rPr>
          <w:rFonts w:ascii="Arial" w:hAnsi="Arial" w:cs="Arial"/>
          <w:i/>
          <w:iCs/>
          <w:u w:val="single"/>
        </w:rPr>
        <w:t xml:space="preserve"> </w:t>
      </w:r>
      <w:proofErr w:type="spellStart"/>
      <w:r w:rsidRPr="00EE60BF">
        <w:rPr>
          <w:rFonts w:ascii="Arial" w:hAnsi="Arial" w:cs="Arial"/>
          <w:i/>
          <w:iCs/>
          <w:u w:val="single"/>
        </w:rPr>
        <w:t>předpisu</w:t>
      </w:r>
      <w:proofErr w:type="spellEnd"/>
      <w:r w:rsidRPr="00EE60BF">
        <w:rPr>
          <w:rFonts w:ascii="Arial" w:hAnsi="Arial" w:cs="Arial"/>
          <w:i/>
          <w:iCs/>
          <w:u w:val="single"/>
        </w:rPr>
        <w:t xml:space="preserve"> 1a)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zachycené</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u w:val="single"/>
        </w:rPr>
        <w:t xml:space="preserve">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v </w:t>
      </w:r>
      <w:proofErr w:type="spellStart"/>
      <w:r w:rsidRPr="00EE60BF">
        <w:rPr>
          <w:rFonts w:ascii="Arial" w:hAnsi="Arial" w:cs="Arial"/>
          <w:i/>
          <w:iCs/>
          <w:u w:val="single"/>
        </w:rPr>
        <w:t>souladu</w:t>
      </w:r>
      <w:proofErr w:type="spellEnd"/>
      <w:r w:rsidRPr="00EE60BF">
        <w:rPr>
          <w:rFonts w:ascii="Arial" w:hAnsi="Arial" w:cs="Arial"/>
          <w:i/>
          <w:iCs/>
          <w:u w:val="single"/>
        </w:rPr>
        <w:t xml:space="preserve"> se </w:t>
      </w:r>
      <w:proofErr w:type="spellStart"/>
      <w:r w:rsidRPr="00EE60BF">
        <w:rPr>
          <w:rFonts w:ascii="Arial" w:hAnsi="Arial" w:cs="Arial"/>
          <w:i/>
          <w:iCs/>
          <w:u w:val="single"/>
        </w:rPr>
        <w:t>zvláštním</w:t>
      </w:r>
      <w:proofErr w:type="spellEnd"/>
      <w:r w:rsidRPr="00EE60BF">
        <w:rPr>
          <w:rFonts w:ascii="Arial" w:hAnsi="Arial" w:cs="Arial"/>
          <w:i/>
          <w:iCs/>
          <w:u w:val="single"/>
        </w:rPr>
        <w:t xml:space="preserve"> </w:t>
      </w:r>
      <w:proofErr w:type="spellStart"/>
      <w:r w:rsidRPr="00EE60BF">
        <w:rPr>
          <w:rFonts w:ascii="Arial" w:hAnsi="Arial" w:cs="Arial"/>
          <w:i/>
          <w:iCs/>
          <w:u w:val="single"/>
        </w:rPr>
        <w:t>právním</w:t>
      </w:r>
      <w:proofErr w:type="spellEnd"/>
      <w:r w:rsidRPr="00EE60BF">
        <w:rPr>
          <w:rFonts w:ascii="Arial" w:hAnsi="Arial" w:cs="Arial"/>
          <w:i/>
          <w:iCs/>
          <w:u w:val="single"/>
        </w:rPr>
        <w:t xml:space="preserve"> </w:t>
      </w:r>
      <w:proofErr w:type="spellStart"/>
      <w:r w:rsidRPr="00EE60BF">
        <w:rPr>
          <w:rFonts w:ascii="Arial" w:hAnsi="Arial" w:cs="Arial"/>
          <w:i/>
          <w:iCs/>
          <w:u w:val="single"/>
        </w:rPr>
        <w:t>předpisem</w:t>
      </w:r>
      <w:proofErr w:type="spellEnd"/>
      <w:r w:rsidRPr="00EE60BF">
        <w:rPr>
          <w:rFonts w:ascii="Arial" w:hAnsi="Arial" w:cs="Arial"/>
          <w:i/>
          <w:iCs/>
        </w:rPr>
        <w:t xml:space="preserve">, 20)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w:t>
      </w:r>
    </w:p>
    <w:p w14:paraId="443C6340" w14:textId="77777777" w:rsidR="0084634C" w:rsidRDefault="0084634C" w:rsidP="0084634C">
      <w:pPr>
        <w:jc w:val="both"/>
        <w:rPr>
          <w:rFonts w:ascii="Arial" w:hAnsi="Arial" w:cs="Arial"/>
        </w:rPr>
      </w:pPr>
    </w:p>
    <w:p w14:paraId="5BB86265" w14:textId="77777777" w:rsidR="0084634C" w:rsidRPr="00EE60BF" w:rsidRDefault="0084634C" w:rsidP="0084634C">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w:t>
      </w:r>
    </w:p>
    <w:p w14:paraId="4BA395DB" w14:textId="77777777" w:rsidR="0084634C" w:rsidRDefault="0084634C" w:rsidP="0084634C">
      <w:pPr>
        <w:jc w:val="both"/>
        <w:rPr>
          <w:rFonts w:ascii="Arial" w:hAnsi="Arial" w:cs="Arial"/>
        </w:rPr>
      </w:pPr>
    </w:p>
    <w:p w14:paraId="5DB8D23E" w14:textId="77777777" w:rsidR="0084634C" w:rsidRPr="00EE60BF" w:rsidRDefault="0084634C" w:rsidP="0084634C">
      <w:pPr>
        <w:jc w:val="both"/>
        <w:rPr>
          <w:rFonts w:ascii="Arial" w:hAnsi="Arial" w:cs="Arial"/>
        </w:rPr>
      </w:pP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textem</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a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je </w:t>
      </w:r>
      <w:proofErr w:type="spellStart"/>
      <w:r w:rsidRPr="00EE60BF">
        <w:rPr>
          <w:rFonts w:ascii="Arial" w:hAnsi="Arial" w:cs="Arial"/>
        </w:rPr>
        <w:t>evidentní</w:t>
      </w:r>
      <w:proofErr w:type="spellEnd"/>
      <w:r w:rsidRPr="00EE60BF">
        <w:rPr>
          <w:rFonts w:ascii="Arial" w:hAnsi="Arial" w:cs="Arial"/>
        </w:rPr>
        <w:t xml:space="preserve"> </w:t>
      </w:r>
      <w:proofErr w:type="spellStart"/>
      <w:r w:rsidRPr="00EE60BF">
        <w:rPr>
          <w:rFonts w:ascii="Arial" w:hAnsi="Arial" w:cs="Arial"/>
        </w:rPr>
        <w:t>rozpor</w:t>
      </w:r>
      <w:proofErr w:type="spellEnd"/>
      <w:r w:rsidRPr="00EE60BF">
        <w:rPr>
          <w:rFonts w:ascii="Arial" w:hAnsi="Arial" w:cs="Arial"/>
        </w:rPr>
        <w:t xml:space="preserve"> co do </w:t>
      </w:r>
      <w:proofErr w:type="spellStart"/>
      <w:r w:rsidRPr="00EE60BF">
        <w:rPr>
          <w:rFonts w:ascii="Arial" w:hAnsi="Arial" w:cs="Arial"/>
        </w:rPr>
        <w:t>metody</w:t>
      </w:r>
      <w:proofErr w:type="spellEnd"/>
      <w:r w:rsidRPr="00EE60BF">
        <w:rPr>
          <w:rFonts w:ascii="Arial" w:hAnsi="Arial" w:cs="Arial"/>
        </w:rPr>
        <w:t xml:space="preserve"> </w:t>
      </w:r>
      <w:proofErr w:type="spellStart"/>
      <w:r w:rsidRPr="00EE60BF">
        <w:rPr>
          <w:rFonts w:ascii="Arial" w:hAnsi="Arial" w:cs="Arial"/>
        </w:rPr>
        <w:t>ocenění</w:t>
      </w:r>
      <w:proofErr w:type="spellEnd"/>
      <w:r w:rsidRPr="00EE60BF">
        <w:rPr>
          <w:rFonts w:ascii="Arial" w:hAnsi="Arial" w:cs="Arial"/>
        </w:rPr>
        <w:t xml:space="preserve"> (ZDP </w:t>
      </w:r>
      <w:proofErr w:type="spellStart"/>
      <w:r w:rsidRPr="00EE60BF">
        <w:rPr>
          <w:rFonts w:ascii="Arial" w:hAnsi="Arial" w:cs="Arial"/>
        </w:rPr>
        <w:t>odkazuje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zjištěnou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se </w:t>
      </w:r>
      <w:proofErr w:type="spellStart"/>
      <w:r w:rsidRPr="00EE60BF">
        <w:rPr>
          <w:rFonts w:ascii="Arial" w:hAnsi="Arial" w:cs="Arial"/>
        </w:rPr>
        <w:t>nezabývá</w:t>
      </w:r>
      <w:proofErr w:type="spellEnd"/>
      <w:r w:rsidRPr="00EE60BF">
        <w:rPr>
          <w:rFonts w:ascii="Arial" w:hAnsi="Arial" w:cs="Arial"/>
        </w:rPr>
        <w:t xml:space="preserve"> </w:t>
      </w:r>
      <w:proofErr w:type="spellStart"/>
      <w:r w:rsidRPr="00EE60BF">
        <w:rPr>
          <w:rFonts w:ascii="Arial" w:hAnsi="Arial" w:cs="Arial"/>
        </w:rPr>
        <w:t>otázkou</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je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konečná</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w:t>
      </w:r>
      <w:proofErr w:type="spellStart"/>
      <w:r w:rsidRPr="00EE60BF">
        <w:rPr>
          <w:rFonts w:ascii="Arial" w:hAnsi="Arial" w:cs="Arial"/>
        </w:rPr>
        <w:t>dochází</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zmiňuje</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k </w:t>
      </w:r>
      <w:proofErr w:type="spellStart"/>
      <w:r w:rsidRPr="00EE60BF">
        <w:rPr>
          <w:rFonts w:ascii="Arial" w:hAnsi="Arial" w:cs="Arial"/>
        </w:rPr>
        <w:t>úhradě</w:t>
      </w:r>
      <w:proofErr w:type="spellEnd"/>
      <w:r w:rsidRPr="00EE60BF">
        <w:rPr>
          <w:rFonts w:ascii="Arial" w:hAnsi="Arial" w:cs="Arial"/>
        </w:rPr>
        <w:t xml:space="preserve"> </w:t>
      </w:r>
      <w:proofErr w:type="spellStart"/>
      <w:r w:rsidRPr="00EE60BF">
        <w:rPr>
          <w:rFonts w:ascii="Arial" w:hAnsi="Arial" w:cs="Arial"/>
        </w:rPr>
        <w:t>rozdílu</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nároku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w:t>
      </w:r>
    </w:p>
    <w:p w14:paraId="16666CA4" w14:textId="77777777" w:rsidR="0084634C" w:rsidRDefault="0084634C" w:rsidP="0084634C">
      <w:pPr>
        <w:jc w:val="both"/>
        <w:rPr>
          <w:rFonts w:ascii="Arial" w:hAnsi="Arial" w:cs="Arial"/>
        </w:rPr>
      </w:pPr>
    </w:p>
    <w:p w14:paraId="72629A6E" w14:textId="77777777" w:rsidR="0084634C" w:rsidRPr="00EE60BF" w:rsidRDefault="0084634C" w:rsidP="0084634C">
      <w:pPr>
        <w:jc w:val="both"/>
        <w:rPr>
          <w:rFonts w:ascii="Arial" w:hAnsi="Arial" w:cs="Arial"/>
          <w:i/>
          <w:iCs/>
        </w:rPr>
      </w:pPr>
      <w:proofErr w:type="spellStart"/>
      <w:r w:rsidRPr="00EE60BF">
        <w:rPr>
          <w:rFonts w:ascii="Arial" w:hAnsi="Arial" w:cs="Arial"/>
        </w:rPr>
        <w:lastRenderedPageBreak/>
        <w:t>Podle</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I bod 116 </w:t>
      </w:r>
      <w:proofErr w:type="spellStart"/>
      <w:r w:rsidRPr="00EE60BF">
        <w:rPr>
          <w:rFonts w:ascii="Arial" w:hAnsi="Arial" w:cs="Arial"/>
        </w:rPr>
        <w:t>novely</w:t>
      </w:r>
      <w:proofErr w:type="spellEnd"/>
      <w:r w:rsidRPr="00EE60BF">
        <w:rPr>
          <w:rFonts w:ascii="Arial" w:hAnsi="Arial" w:cs="Arial"/>
        </w:rPr>
        <w:t xml:space="preserve"> č. 438/2003 Sb. se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konci</w:t>
      </w:r>
      <w:proofErr w:type="spellEnd"/>
      <w:r w:rsidRPr="00EE60BF">
        <w:rPr>
          <w:rFonts w:ascii="Arial" w:hAnsi="Arial" w:cs="Arial"/>
        </w:rPr>
        <w:t xml:space="preserve"> </w:t>
      </w:r>
      <w:proofErr w:type="spellStart"/>
      <w:r w:rsidRPr="00EE60BF">
        <w:rPr>
          <w:rFonts w:ascii="Arial" w:hAnsi="Arial" w:cs="Arial"/>
        </w:rPr>
        <w:t>písmene</w:t>
      </w:r>
      <w:proofErr w:type="spellEnd"/>
      <w:r w:rsidRPr="00EE60BF">
        <w:rPr>
          <w:rFonts w:ascii="Arial" w:hAnsi="Arial" w:cs="Arial"/>
        </w:rPr>
        <w:t xml:space="preserve"> a) </w:t>
      </w:r>
      <w:proofErr w:type="spellStart"/>
      <w:r w:rsidRPr="00EE60BF">
        <w:rPr>
          <w:rFonts w:ascii="Arial" w:hAnsi="Arial" w:cs="Arial"/>
        </w:rPr>
        <w:t>doplňují</w:t>
      </w:r>
      <w:proofErr w:type="spellEnd"/>
      <w:r w:rsidRPr="00EE60BF">
        <w:rPr>
          <w:rFonts w:ascii="Arial" w:hAnsi="Arial" w:cs="Arial"/>
        </w:rPr>
        <w:t xml:space="preserve"> body 7 </w:t>
      </w:r>
      <w:proofErr w:type="spellStart"/>
      <w:r w:rsidRPr="00EE60BF">
        <w:rPr>
          <w:rFonts w:ascii="Arial" w:hAnsi="Arial" w:cs="Arial"/>
        </w:rPr>
        <w:t>až</w:t>
      </w:r>
      <w:proofErr w:type="spellEnd"/>
      <w:r w:rsidRPr="00EE60BF">
        <w:rPr>
          <w:rFonts w:ascii="Arial" w:hAnsi="Arial" w:cs="Arial"/>
        </w:rPr>
        <w:t xml:space="preserve"> 12, </w:t>
      </w:r>
      <w:proofErr w:type="spellStart"/>
      <w:r w:rsidRPr="00EE60BF">
        <w:rPr>
          <w:rFonts w:ascii="Arial" w:hAnsi="Arial" w:cs="Arial"/>
        </w:rPr>
        <w:t>které</w:t>
      </w:r>
      <w:proofErr w:type="spellEnd"/>
      <w:r w:rsidRPr="00EE60BF">
        <w:rPr>
          <w:rFonts w:ascii="Arial" w:hAnsi="Arial" w:cs="Arial"/>
        </w:rPr>
        <w:t xml:space="preserve"> </w:t>
      </w:r>
      <w:proofErr w:type="spellStart"/>
      <w:r w:rsidRPr="00EE60BF">
        <w:rPr>
          <w:rFonts w:ascii="Arial" w:hAnsi="Arial" w:cs="Arial"/>
        </w:rPr>
        <w:t>včetně</w:t>
      </w:r>
      <w:proofErr w:type="spellEnd"/>
      <w:r w:rsidRPr="00EE60BF">
        <w:rPr>
          <w:rFonts w:ascii="Arial" w:hAnsi="Arial" w:cs="Arial"/>
        </w:rPr>
        <w:t xml:space="preserve"> </w:t>
      </w:r>
      <w:proofErr w:type="spellStart"/>
      <w:r w:rsidRPr="00EE60BF">
        <w:rPr>
          <w:rFonts w:ascii="Arial" w:hAnsi="Arial" w:cs="Arial"/>
        </w:rPr>
        <w:t>poznámky</w:t>
      </w:r>
      <w:proofErr w:type="spellEnd"/>
      <w:r w:rsidRPr="00EE60BF">
        <w:rPr>
          <w:rFonts w:ascii="Arial" w:hAnsi="Arial" w:cs="Arial"/>
        </w:rPr>
        <w:t xml:space="preserve"> pod </w:t>
      </w:r>
      <w:proofErr w:type="spellStart"/>
      <w:r w:rsidRPr="00EE60BF">
        <w:rPr>
          <w:rFonts w:ascii="Arial" w:hAnsi="Arial" w:cs="Arial"/>
        </w:rPr>
        <w:t>čarou</w:t>
      </w:r>
      <w:proofErr w:type="spellEnd"/>
      <w:r w:rsidRPr="00EE60BF">
        <w:rPr>
          <w:rFonts w:ascii="Arial" w:hAnsi="Arial" w:cs="Arial"/>
        </w:rPr>
        <w:t xml:space="preserve"> č. 94) </w:t>
      </w:r>
      <w:proofErr w:type="spellStart"/>
      <w:r w:rsidRPr="00EE60BF">
        <w:rPr>
          <w:rFonts w:ascii="Arial" w:hAnsi="Arial" w:cs="Arial"/>
        </w:rPr>
        <w:t>znějí</w:t>
      </w:r>
      <w:proofErr w:type="spellEnd"/>
      <w:r w:rsidRPr="00EE60BF">
        <w:rPr>
          <w:rFonts w:ascii="Arial" w:hAnsi="Arial" w:cs="Arial"/>
        </w:rPr>
        <w:t>: „</w:t>
      </w:r>
      <w:r w:rsidRPr="00EE60BF">
        <w:rPr>
          <w:rFonts w:ascii="Arial" w:hAnsi="Arial" w:cs="Arial"/>
          <w:i/>
          <w:iCs/>
        </w:rPr>
        <w:t xml:space="preserve">11.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zvláštního</w:t>
      </w:r>
      <w:proofErr w:type="spellEnd"/>
      <w:r w:rsidRPr="00EE60BF">
        <w:rPr>
          <w:rFonts w:ascii="Arial" w:hAnsi="Arial" w:cs="Arial"/>
          <w:i/>
          <w:iCs/>
        </w:rPr>
        <w:t xml:space="preserve"> </w:t>
      </w:r>
      <w:proofErr w:type="spellStart"/>
      <w:r w:rsidRPr="00EE60BF">
        <w:rPr>
          <w:rFonts w:ascii="Arial" w:hAnsi="Arial" w:cs="Arial"/>
          <w:i/>
          <w:iCs/>
        </w:rPr>
        <w:t>právního</w:t>
      </w:r>
      <w:proofErr w:type="spellEnd"/>
      <w:r w:rsidRPr="00EE60BF">
        <w:rPr>
          <w:rFonts w:ascii="Arial" w:hAnsi="Arial" w:cs="Arial"/>
          <w:i/>
          <w:iCs/>
        </w:rPr>
        <w:t xml:space="preserve"> </w:t>
      </w:r>
      <w:proofErr w:type="spellStart"/>
      <w:r w:rsidRPr="00EE60BF">
        <w:rPr>
          <w:rFonts w:ascii="Arial" w:hAnsi="Arial" w:cs="Arial"/>
          <w:i/>
          <w:iCs/>
        </w:rPr>
        <w:t>předpisu</w:t>
      </w:r>
      <w:proofErr w:type="spellEnd"/>
      <w:r w:rsidRPr="00EE60BF">
        <w:rPr>
          <w:rFonts w:ascii="Arial" w:hAnsi="Arial" w:cs="Arial"/>
          <w:i/>
          <w:iCs/>
        </w:rPr>
        <w:t xml:space="preserve"> 1a)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se </w:t>
      </w:r>
      <w:proofErr w:type="spellStart"/>
      <w:r w:rsidRPr="00EE60BF">
        <w:rPr>
          <w:rFonts w:ascii="Arial" w:hAnsi="Arial" w:cs="Arial"/>
          <w:i/>
          <w:iCs/>
        </w:rPr>
        <w:t>zvláštním</w:t>
      </w:r>
      <w:proofErr w:type="spellEnd"/>
      <w:r w:rsidRPr="00EE60BF">
        <w:rPr>
          <w:rFonts w:ascii="Arial" w:hAnsi="Arial" w:cs="Arial"/>
          <w:i/>
          <w:iCs/>
        </w:rPr>
        <w:t xml:space="preserve"> </w:t>
      </w:r>
      <w:proofErr w:type="spellStart"/>
      <w:r w:rsidRPr="00EE60BF">
        <w:rPr>
          <w:rFonts w:ascii="Arial" w:hAnsi="Arial" w:cs="Arial"/>
          <w:i/>
          <w:iCs/>
        </w:rPr>
        <w:t>právním</w:t>
      </w:r>
      <w:proofErr w:type="spellEnd"/>
      <w:r w:rsidRPr="00EE60BF">
        <w:rPr>
          <w:rFonts w:ascii="Arial" w:hAnsi="Arial" w:cs="Arial"/>
          <w:i/>
          <w:iCs/>
        </w:rPr>
        <w:t xml:space="preserve"> </w:t>
      </w:r>
      <w:proofErr w:type="spellStart"/>
      <w:r w:rsidRPr="00EE60BF">
        <w:rPr>
          <w:rFonts w:ascii="Arial" w:hAnsi="Arial" w:cs="Arial"/>
          <w:i/>
          <w:iCs/>
        </w:rPr>
        <w:t>předpisem</w:t>
      </w:r>
      <w:proofErr w:type="spellEnd"/>
      <w:r w:rsidRPr="00EE60BF">
        <w:rPr>
          <w:rFonts w:ascii="Arial" w:hAnsi="Arial" w:cs="Arial"/>
          <w:i/>
          <w:iCs/>
        </w:rPr>
        <w:t xml:space="preserve"> 20) u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 xml:space="preserve">, </w:t>
      </w:r>
      <w:proofErr w:type="gramStart"/>
      <w:r w:rsidRPr="00EE60BF">
        <w:rPr>
          <w:rFonts w:ascii="Arial" w:hAnsi="Arial" w:cs="Arial"/>
          <w:i/>
          <w:iCs/>
        </w:rPr>
        <w:t>…“</w:t>
      </w:r>
      <w:proofErr w:type="gramEnd"/>
    </w:p>
    <w:p w14:paraId="4BCB5968" w14:textId="77777777" w:rsidR="0084634C" w:rsidRDefault="0084634C" w:rsidP="0084634C">
      <w:pPr>
        <w:jc w:val="both"/>
        <w:rPr>
          <w:rFonts w:ascii="Arial" w:hAnsi="Arial" w:cs="Arial"/>
        </w:rPr>
      </w:pPr>
    </w:p>
    <w:p w14:paraId="5331D6E7" w14:textId="77777777" w:rsidR="0084634C" w:rsidRPr="00EE60BF" w:rsidRDefault="0084634C" w:rsidP="0084634C">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w:t>
      </w:r>
      <w:r w:rsidRPr="00EE60BF">
        <w:rPr>
          <w:rFonts w:ascii="Arial" w:hAnsi="Arial" w:cs="Arial"/>
          <w:i/>
          <w:iCs/>
        </w:rPr>
        <w:t xml:space="preserve">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r w:rsidRPr="00EE60BF">
        <w:rPr>
          <w:rFonts w:ascii="Arial" w:hAnsi="Arial" w:cs="Arial"/>
          <w:i/>
          <w:iCs/>
          <w:u w:val="single"/>
        </w:rPr>
        <w:t xml:space="preserve">Dani </w:t>
      </w:r>
      <w:proofErr w:type="spellStart"/>
      <w:r w:rsidRPr="00EE60BF">
        <w:rPr>
          <w:rFonts w:ascii="Arial" w:hAnsi="Arial" w:cs="Arial"/>
          <w:i/>
          <w:iCs/>
          <w:u w:val="single"/>
        </w:rPr>
        <w:t>vybírané</w:t>
      </w:r>
      <w:proofErr w:type="spellEnd"/>
      <w:r w:rsidRPr="00EE60BF">
        <w:rPr>
          <w:rFonts w:ascii="Arial" w:hAnsi="Arial" w:cs="Arial"/>
          <w:i/>
          <w:iCs/>
          <w:u w:val="single"/>
        </w:rPr>
        <w:t xml:space="preserve"> </w:t>
      </w:r>
      <w:proofErr w:type="spellStart"/>
      <w:r w:rsidRPr="00EE60BF">
        <w:rPr>
          <w:rFonts w:ascii="Arial" w:hAnsi="Arial" w:cs="Arial"/>
          <w:i/>
          <w:iCs/>
          <w:u w:val="single"/>
        </w:rPr>
        <w:t>srážkou</w:t>
      </w:r>
      <w:proofErr w:type="spellEnd"/>
      <w:r w:rsidRPr="00EE60BF">
        <w:rPr>
          <w:rFonts w:ascii="Arial" w:hAnsi="Arial" w:cs="Arial"/>
          <w:i/>
          <w:iCs/>
          <w:u w:val="single"/>
        </w:rPr>
        <w:t xml:space="preserve"> ve </w:t>
      </w:r>
      <w:proofErr w:type="spellStart"/>
      <w:r w:rsidRPr="00EE60BF">
        <w:rPr>
          <w:rFonts w:ascii="Arial" w:hAnsi="Arial" w:cs="Arial"/>
          <w:i/>
          <w:iCs/>
          <w:u w:val="single"/>
        </w:rPr>
        <w:t>výši</w:t>
      </w:r>
      <w:proofErr w:type="spellEnd"/>
      <w:r w:rsidRPr="00EE60BF">
        <w:rPr>
          <w:rFonts w:ascii="Arial" w:hAnsi="Arial" w:cs="Arial"/>
          <w:i/>
          <w:iCs/>
          <w:u w:val="single"/>
        </w:rPr>
        <w:t xml:space="preserve"> 15 % by </w:t>
      </w:r>
      <w:proofErr w:type="spellStart"/>
      <w:r w:rsidRPr="00EE60BF">
        <w:rPr>
          <w:rFonts w:ascii="Arial" w:hAnsi="Arial" w:cs="Arial"/>
          <w:i/>
          <w:iCs/>
          <w:u w:val="single"/>
        </w:rPr>
        <w:t>podléhala</w:t>
      </w:r>
      <w:proofErr w:type="spellEnd"/>
      <w:r w:rsidRPr="00EE60BF">
        <w:rPr>
          <w:rFonts w:ascii="Arial" w:hAnsi="Arial" w:cs="Arial"/>
          <w:i/>
          <w:iCs/>
          <w:u w:val="single"/>
        </w:rPr>
        <w:t xml:space="preserve"> </w:t>
      </w:r>
      <w:proofErr w:type="spellStart"/>
      <w:r w:rsidRPr="00EE60BF">
        <w:rPr>
          <w:rFonts w:ascii="Arial" w:hAnsi="Arial" w:cs="Arial"/>
          <w:i/>
          <w:iCs/>
          <w:u w:val="single"/>
        </w:rPr>
        <w:t>výše</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na</w:t>
      </w:r>
      <w:proofErr w:type="spellEnd"/>
      <w:r w:rsidRPr="00EE60BF">
        <w:rPr>
          <w:rFonts w:ascii="Arial" w:hAnsi="Arial" w:cs="Arial"/>
          <w:i/>
          <w:iCs/>
          <w:u w:val="single"/>
        </w:rPr>
        <w:t xml:space="preserve"> </w:t>
      </w:r>
      <w:proofErr w:type="spellStart"/>
      <w:r w:rsidRPr="00EE60BF">
        <w:rPr>
          <w:rFonts w:ascii="Arial" w:hAnsi="Arial" w:cs="Arial"/>
          <w:i/>
          <w:iCs/>
          <w:u w:val="single"/>
        </w:rPr>
        <w:t>likvidačním</w:t>
      </w:r>
      <w:proofErr w:type="spellEnd"/>
      <w:r w:rsidRPr="00EE60BF">
        <w:rPr>
          <w:rFonts w:ascii="Arial" w:hAnsi="Arial" w:cs="Arial"/>
          <w:i/>
          <w:iCs/>
          <w:u w:val="single"/>
        </w:rPr>
        <w:t xml:space="preserve"> </w:t>
      </w:r>
      <w:proofErr w:type="spellStart"/>
      <w:r w:rsidRPr="00EE60BF">
        <w:rPr>
          <w:rFonts w:ascii="Arial" w:hAnsi="Arial" w:cs="Arial"/>
          <w:i/>
          <w:iCs/>
          <w:u w:val="single"/>
        </w:rPr>
        <w:t>zůstatku</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vypořádacího</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zjištěná</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rPr>
        <w:t xml:space="preserve">. </w:t>
      </w:r>
    </w:p>
    <w:p w14:paraId="3A0E39E1" w14:textId="77777777" w:rsidR="0084634C" w:rsidRDefault="0084634C" w:rsidP="0084634C">
      <w:pPr>
        <w:jc w:val="both"/>
        <w:rPr>
          <w:rFonts w:ascii="Arial" w:hAnsi="Arial" w:cs="Arial"/>
        </w:rPr>
      </w:pPr>
    </w:p>
    <w:p w14:paraId="4ECF3E09" w14:textId="77777777" w:rsidR="0084634C" w:rsidRPr="00EE60BF" w:rsidRDefault="0084634C" w:rsidP="0084634C">
      <w:pPr>
        <w:jc w:val="both"/>
        <w:rPr>
          <w:rFonts w:ascii="Arial" w:hAnsi="Arial" w:cs="Arial"/>
        </w:rPr>
      </w:pPr>
      <w:r w:rsidRPr="00EE60BF">
        <w:rPr>
          <w:rFonts w:ascii="Arial" w:hAnsi="Arial" w:cs="Arial"/>
        </w:rPr>
        <w:t>Z </w:t>
      </w:r>
      <w:proofErr w:type="spellStart"/>
      <w:r w:rsidRPr="00EE60BF">
        <w:rPr>
          <w:rFonts w:ascii="Arial" w:hAnsi="Arial" w:cs="Arial"/>
        </w:rPr>
        <w:t>identického</w:t>
      </w:r>
      <w:proofErr w:type="spellEnd"/>
      <w:r w:rsidRPr="00EE60BF">
        <w:rPr>
          <w:rFonts w:ascii="Arial" w:hAnsi="Arial" w:cs="Arial"/>
        </w:rPr>
        <w:t xml:space="preserve">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pro § 10 </w:t>
      </w:r>
      <w:proofErr w:type="spellStart"/>
      <w:r w:rsidRPr="00EE60BF">
        <w:rPr>
          <w:rFonts w:ascii="Arial" w:hAnsi="Arial" w:cs="Arial"/>
        </w:rPr>
        <w:t>odst</w:t>
      </w:r>
      <w:proofErr w:type="spellEnd"/>
      <w:r w:rsidRPr="00EE60BF">
        <w:rPr>
          <w:rFonts w:ascii="Arial" w:hAnsi="Arial" w:cs="Arial"/>
        </w:rPr>
        <w:t xml:space="preserve">. 8 ZDP a pro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úmysl</w:t>
      </w:r>
      <w:proofErr w:type="spellEnd"/>
      <w:r w:rsidRPr="00EE60BF">
        <w:rPr>
          <w:rFonts w:ascii="Arial" w:hAnsi="Arial" w:cs="Arial"/>
        </w:rPr>
        <w:t xml:space="preserve"> </w:t>
      </w:r>
      <w:proofErr w:type="spellStart"/>
      <w:r w:rsidRPr="00EE60BF">
        <w:rPr>
          <w:rFonts w:ascii="Arial" w:hAnsi="Arial" w:cs="Arial"/>
        </w:rPr>
        <w:t>zákonodárce</w:t>
      </w:r>
      <w:proofErr w:type="spellEnd"/>
      <w:r w:rsidRPr="00EE60BF">
        <w:rPr>
          <w:rFonts w:ascii="Arial" w:hAnsi="Arial" w:cs="Arial"/>
        </w:rPr>
        <w:t xml:space="preserve"> </w:t>
      </w:r>
      <w:proofErr w:type="spellStart"/>
      <w:r w:rsidRPr="00EE60BF">
        <w:rPr>
          <w:rFonts w:ascii="Arial" w:hAnsi="Arial" w:cs="Arial"/>
        </w:rPr>
        <w:t>sjednotit</w:t>
      </w:r>
      <w:proofErr w:type="spellEnd"/>
      <w:r w:rsidRPr="00EE60BF">
        <w:rPr>
          <w:rFonts w:ascii="Arial" w:hAnsi="Arial" w:cs="Arial"/>
        </w:rPr>
        <w:t xml:space="preserve"> </w:t>
      </w:r>
      <w:proofErr w:type="spellStart"/>
      <w:r w:rsidRPr="00EE60BF">
        <w:rPr>
          <w:rFonts w:ascii="Arial" w:hAnsi="Arial" w:cs="Arial"/>
        </w:rPr>
        <w:t>daňový</w:t>
      </w:r>
      <w:proofErr w:type="spellEnd"/>
      <w:r w:rsidRPr="00EE60BF">
        <w:rPr>
          <w:rFonts w:ascii="Arial" w:hAnsi="Arial" w:cs="Arial"/>
        </w:rPr>
        <w:t xml:space="preserve"> </w:t>
      </w:r>
      <w:proofErr w:type="spellStart"/>
      <w:r w:rsidRPr="00EE60BF">
        <w:rPr>
          <w:rFonts w:ascii="Arial" w:hAnsi="Arial" w:cs="Arial"/>
        </w:rPr>
        <w:t>režim</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a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se ale </w:t>
      </w:r>
      <w:proofErr w:type="spellStart"/>
      <w:r w:rsidRPr="00EE60BF">
        <w:rPr>
          <w:rFonts w:ascii="Arial" w:hAnsi="Arial" w:cs="Arial"/>
        </w:rPr>
        <w:t>neodrazil</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ZDP, </w:t>
      </w:r>
      <w:proofErr w:type="spellStart"/>
      <w:r w:rsidRPr="00EE60BF">
        <w:rPr>
          <w:rFonts w:ascii="Arial" w:hAnsi="Arial" w:cs="Arial"/>
        </w:rPr>
        <w:t>protože</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chybí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w:t>
      </w:r>
    </w:p>
    <w:p w14:paraId="7F8BBC2D" w14:textId="77777777" w:rsidR="0084634C" w:rsidRDefault="0084634C" w:rsidP="0084634C">
      <w:pPr>
        <w:jc w:val="both"/>
        <w:rPr>
          <w:rFonts w:ascii="Arial" w:hAnsi="Arial" w:cs="Arial"/>
        </w:rPr>
      </w:pPr>
    </w:p>
    <w:p w14:paraId="2EBF138B" w14:textId="77777777" w:rsidR="0084634C" w:rsidRPr="00EE60BF" w:rsidRDefault="0084634C" w:rsidP="0084634C">
      <w:pPr>
        <w:jc w:val="both"/>
        <w:rPr>
          <w:rFonts w:ascii="Arial" w:hAnsi="Arial" w:cs="Arial"/>
        </w:rPr>
      </w:pPr>
      <w:r w:rsidRPr="00EE60BF">
        <w:rPr>
          <w:rFonts w:ascii="Arial" w:hAnsi="Arial" w:cs="Arial"/>
        </w:rPr>
        <w:t>K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došlo</w:t>
      </w:r>
      <w:proofErr w:type="spellEnd"/>
      <w:r w:rsidRPr="00EE60BF">
        <w:rPr>
          <w:rFonts w:ascii="Arial" w:hAnsi="Arial" w:cs="Arial"/>
        </w:rPr>
        <w:t xml:space="preserve"> </w:t>
      </w:r>
      <w:proofErr w:type="spellStart"/>
      <w:r w:rsidRPr="00EE60BF">
        <w:rPr>
          <w:rFonts w:ascii="Arial" w:hAnsi="Arial" w:cs="Arial"/>
        </w:rPr>
        <w:t>novelami</w:t>
      </w:r>
      <w:proofErr w:type="spellEnd"/>
      <w:r w:rsidRPr="00EE60BF">
        <w:rPr>
          <w:rFonts w:ascii="Arial" w:hAnsi="Arial" w:cs="Arial"/>
        </w:rPr>
        <w:t xml:space="preserve"> ZDP č. 344/2013 Sb. (bod 291) a č. 267/2014 Sb. (bod 113).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267/2014 Sb. </w:t>
      </w:r>
      <w:proofErr w:type="spellStart"/>
      <w:r w:rsidRPr="00EE60BF">
        <w:rPr>
          <w:rFonts w:ascii="Arial" w:hAnsi="Arial" w:cs="Arial"/>
        </w:rPr>
        <w:t>bodu</w:t>
      </w:r>
      <w:proofErr w:type="spellEnd"/>
      <w:r w:rsidRPr="00EE60BF">
        <w:rPr>
          <w:rFonts w:ascii="Arial" w:hAnsi="Arial" w:cs="Arial"/>
        </w:rPr>
        <w:t xml:space="preserve"> 113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11)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jedná</w:t>
      </w:r>
      <w:proofErr w:type="spellEnd"/>
      <w:r w:rsidRPr="00EE60BF">
        <w:rPr>
          <w:rFonts w:ascii="Arial" w:hAnsi="Arial" w:cs="Arial"/>
        </w:rPr>
        <w:t xml:space="preserve"> o </w:t>
      </w:r>
      <w:proofErr w:type="spellStart"/>
      <w:r w:rsidRPr="00EE60BF">
        <w:rPr>
          <w:rFonts w:ascii="Arial" w:hAnsi="Arial" w:cs="Arial"/>
        </w:rPr>
        <w:t>opravu</w:t>
      </w:r>
      <w:proofErr w:type="spellEnd"/>
      <w:r w:rsidRPr="00EE60BF">
        <w:rPr>
          <w:rFonts w:ascii="Arial" w:hAnsi="Arial" w:cs="Arial"/>
        </w:rPr>
        <w:t xml:space="preserve"> </w:t>
      </w:r>
      <w:proofErr w:type="spellStart"/>
      <w:r w:rsidRPr="00EE60BF">
        <w:rPr>
          <w:rFonts w:ascii="Arial" w:hAnsi="Arial" w:cs="Arial"/>
        </w:rPr>
        <w:t>zřejmé</w:t>
      </w:r>
      <w:proofErr w:type="spellEnd"/>
      <w:r w:rsidRPr="00EE60BF">
        <w:rPr>
          <w:rFonts w:ascii="Arial" w:hAnsi="Arial" w:cs="Arial"/>
        </w:rPr>
        <w:t xml:space="preserve"> </w:t>
      </w:r>
      <w:proofErr w:type="spellStart"/>
      <w:r w:rsidRPr="00EE60BF">
        <w:rPr>
          <w:rFonts w:ascii="Arial" w:hAnsi="Arial" w:cs="Arial"/>
        </w:rPr>
        <w:t>chyby</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w:t>
      </w:r>
      <w:proofErr w:type="spellStart"/>
      <w:r w:rsidRPr="00EE60BF">
        <w:rPr>
          <w:rFonts w:ascii="Arial" w:hAnsi="Arial" w:cs="Arial"/>
        </w:rPr>
        <w:t>Komentář</w:t>
      </w:r>
      <w:proofErr w:type="spellEnd"/>
      <w:r w:rsidRPr="00EE60BF">
        <w:rPr>
          <w:rFonts w:ascii="Arial" w:hAnsi="Arial" w:cs="Arial"/>
        </w:rPr>
        <w:t xml:space="preserve"> ASPI k ZDP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v </w:t>
      </w:r>
      <w:proofErr w:type="spellStart"/>
      <w:r w:rsidRPr="00EE60BF">
        <w:rPr>
          <w:rFonts w:ascii="Arial" w:hAnsi="Arial" w:cs="Arial"/>
          <w:i/>
          <w:iCs/>
        </w:rPr>
        <w:t>postavení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jiné</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Skutečnost</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zákon</w:t>
      </w:r>
      <w:proofErr w:type="spellEnd"/>
      <w:r w:rsidRPr="00EE60BF">
        <w:rPr>
          <w:rFonts w:ascii="Arial" w:hAnsi="Arial" w:cs="Arial"/>
          <w:i/>
          <w:iCs/>
        </w:rPr>
        <w:t xml:space="preserve"> </w:t>
      </w:r>
      <w:proofErr w:type="spellStart"/>
      <w:r w:rsidRPr="00EE60BF">
        <w:rPr>
          <w:rFonts w:ascii="Arial" w:hAnsi="Arial" w:cs="Arial"/>
          <w:i/>
          <w:iCs/>
        </w:rPr>
        <w:t>zde</w:t>
      </w:r>
      <w:proofErr w:type="spellEnd"/>
      <w:r w:rsidRPr="00EE60BF">
        <w:rPr>
          <w:rFonts w:ascii="Arial" w:hAnsi="Arial" w:cs="Arial"/>
          <w:i/>
          <w:iCs/>
        </w:rPr>
        <w:t xml:space="preserve"> </w:t>
      </w:r>
      <w:proofErr w:type="spellStart"/>
      <w:r w:rsidRPr="00EE60BF">
        <w:rPr>
          <w:rFonts w:ascii="Arial" w:hAnsi="Arial" w:cs="Arial"/>
          <w:i/>
          <w:iCs/>
        </w:rPr>
        <w:t>používá</w:t>
      </w:r>
      <w:proofErr w:type="spellEnd"/>
      <w:r w:rsidRPr="00EE60BF">
        <w:rPr>
          <w:rFonts w:ascii="Arial" w:hAnsi="Arial" w:cs="Arial"/>
          <w:i/>
          <w:iCs/>
        </w:rPr>
        <w:t xml:space="preserve"> </w:t>
      </w:r>
      <w:proofErr w:type="spellStart"/>
      <w:r w:rsidRPr="00EE60BF">
        <w:rPr>
          <w:rFonts w:ascii="Arial" w:hAnsi="Arial" w:cs="Arial"/>
          <w:i/>
          <w:iCs/>
        </w:rPr>
        <w:t>pojem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znamená</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je </w:t>
      </w:r>
      <w:proofErr w:type="spellStart"/>
      <w:r w:rsidRPr="00EE60BF">
        <w:rPr>
          <w:rFonts w:ascii="Arial" w:hAnsi="Arial" w:cs="Arial"/>
          <w:i/>
          <w:iCs/>
        </w:rPr>
        <w:t>nutné</w:t>
      </w:r>
      <w:proofErr w:type="spellEnd"/>
      <w:r w:rsidRPr="00EE60BF">
        <w:rPr>
          <w:rFonts w:ascii="Arial" w:hAnsi="Arial" w:cs="Arial"/>
          <w:i/>
          <w:iCs/>
        </w:rPr>
        <w:t xml:space="preserve"> </w:t>
      </w:r>
      <w:proofErr w:type="spellStart"/>
      <w:r w:rsidRPr="00EE60BF">
        <w:rPr>
          <w:rFonts w:ascii="Arial" w:hAnsi="Arial" w:cs="Arial"/>
          <w:i/>
          <w:iCs/>
        </w:rPr>
        <w:t>navíc</w:t>
      </w:r>
      <w:proofErr w:type="spellEnd"/>
      <w:r w:rsidRPr="00EE60BF">
        <w:rPr>
          <w:rFonts w:ascii="Arial" w:hAnsi="Arial" w:cs="Arial"/>
          <w:i/>
          <w:iCs/>
        </w:rPr>
        <w:t xml:space="preserve"> </w:t>
      </w:r>
      <w:proofErr w:type="spellStart"/>
      <w:r w:rsidRPr="00EE60BF">
        <w:rPr>
          <w:rFonts w:ascii="Arial" w:hAnsi="Arial" w:cs="Arial"/>
          <w:i/>
          <w:iCs/>
        </w:rPr>
        <w:t>mít</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paměti</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toto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kterými</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 1 </w:t>
      </w:r>
      <w:proofErr w:type="spellStart"/>
      <w:r w:rsidRPr="00EE60BF">
        <w:rPr>
          <w:rFonts w:ascii="Arial" w:hAnsi="Arial" w:cs="Arial"/>
          <w:i/>
          <w:iCs/>
        </w:rPr>
        <w:t>odst</w:t>
      </w:r>
      <w:proofErr w:type="spellEnd"/>
      <w:r w:rsidRPr="00EE60BF">
        <w:rPr>
          <w:rFonts w:ascii="Arial" w:hAnsi="Arial" w:cs="Arial"/>
          <w:i/>
          <w:iCs/>
        </w:rPr>
        <w:t xml:space="preserve">. 1 z. o. k.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a </w:t>
      </w:r>
      <w:proofErr w:type="spellStart"/>
      <w:proofErr w:type="gramStart"/>
      <w:r w:rsidRPr="00EE60BF">
        <w:rPr>
          <w:rFonts w:ascii="Arial" w:hAnsi="Arial" w:cs="Arial"/>
          <w:i/>
          <w:iCs/>
        </w:rPr>
        <w:t>družstva</w:t>
      </w:r>
      <w:proofErr w:type="spellEnd"/>
      <w:r w:rsidRPr="00EE60BF">
        <w:rPr>
          <w:rFonts w:ascii="Arial" w:hAnsi="Arial" w:cs="Arial"/>
          <w:i/>
          <w:iCs/>
        </w:rPr>
        <w:t>,…</w:t>
      </w:r>
      <w:proofErr w:type="gramEnd"/>
    </w:p>
    <w:p w14:paraId="735D8573" w14:textId="77777777" w:rsidR="0084634C" w:rsidRDefault="0084634C" w:rsidP="0084634C">
      <w:pPr>
        <w:jc w:val="both"/>
        <w:rPr>
          <w:rFonts w:ascii="Arial" w:hAnsi="Arial" w:cs="Arial"/>
          <w:i/>
          <w:iCs/>
        </w:rPr>
      </w:pPr>
    </w:p>
    <w:p w14:paraId="65D57154" w14:textId="77777777" w:rsidR="0084634C" w:rsidRPr="00EE60BF" w:rsidRDefault="0084634C" w:rsidP="0084634C">
      <w:pPr>
        <w:jc w:val="both"/>
        <w:rPr>
          <w:rFonts w:ascii="Arial" w:hAnsi="Arial" w:cs="Arial"/>
          <w:i/>
          <w:iCs/>
        </w:rPr>
      </w:pP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je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povinna</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o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která</w:t>
      </w:r>
      <w:proofErr w:type="spellEnd"/>
      <w:r w:rsidRPr="00EE60BF">
        <w:rPr>
          <w:rFonts w:ascii="Arial" w:hAnsi="Arial" w:cs="Arial"/>
          <w:i/>
          <w:iCs/>
        </w:rPr>
        <w:t xml:space="preserve"> je </w:t>
      </w:r>
      <w:proofErr w:type="spellStart"/>
      <w:r w:rsidRPr="00EE60BF">
        <w:rPr>
          <w:rFonts w:ascii="Arial" w:hAnsi="Arial" w:cs="Arial"/>
          <w:i/>
          <w:iCs/>
        </w:rPr>
        <w:t>členem</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48699ABA" w14:textId="77777777" w:rsidR="0084634C" w:rsidRDefault="0084634C" w:rsidP="0084634C">
      <w:pPr>
        <w:jc w:val="both"/>
        <w:rPr>
          <w:rFonts w:ascii="Arial" w:hAnsi="Arial" w:cs="Arial"/>
          <w:i/>
          <w:iCs/>
        </w:rPr>
      </w:pPr>
    </w:p>
    <w:p w14:paraId="1661AB0A" w14:textId="77777777" w:rsidR="0084634C" w:rsidRDefault="0084634C" w:rsidP="0084634C">
      <w:pPr>
        <w:jc w:val="both"/>
        <w:rPr>
          <w:rFonts w:ascii="Arial" w:hAnsi="Arial" w:cs="Arial"/>
          <w:i/>
          <w:iCs/>
        </w:rPr>
      </w:pPr>
      <w:proofErr w:type="spellStart"/>
      <w:r w:rsidRPr="00EE60BF">
        <w:rPr>
          <w:rFonts w:ascii="Arial" w:hAnsi="Arial" w:cs="Arial"/>
          <w:i/>
          <w:iCs/>
        </w:rPr>
        <w:t>Znamená</w:t>
      </w:r>
      <w:proofErr w:type="spellEnd"/>
      <w:r w:rsidRPr="00EE60BF">
        <w:rPr>
          <w:rFonts w:ascii="Arial" w:hAnsi="Arial" w:cs="Arial"/>
          <w:i/>
          <w:iCs/>
        </w:rPr>
        <w:t xml:space="preserve"> to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navyšujeme</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za </w:t>
      </w:r>
      <w:proofErr w:type="spellStart"/>
      <w:r w:rsidRPr="00EE60BF">
        <w:rPr>
          <w:rFonts w:ascii="Arial" w:hAnsi="Arial" w:cs="Arial"/>
          <w:i/>
          <w:iCs/>
        </w:rPr>
        <w:t>předpokladu</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nabývaného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vypořádacího</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či</w:t>
      </w:r>
      <w:proofErr w:type="spellEnd"/>
      <w:r w:rsidRPr="00EE60BF">
        <w:rPr>
          <w:rFonts w:ascii="Arial" w:hAnsi="Arial" w:cs="Arial"/>
          <w:i/>
          <w:iCs/>
        </w:rPr>
        <w:t xml:space="preserve"> </w:t>
      </w:r>
      <w:proofErr w:type="spellStart"/>
      <w:r w:rsidRPr="00EE60BF">
        <w:rPr>
          <w:rFonts w:ascii="Arial" w:hAnsi="Arial" w:cs="Arial"/>
          <w:i/>
          <w:iCs/>
        </w:rPr>
        <w:t>likvidačního</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převyšuje</w:t>
      </w:r>
      <w:proofErr w:type="spellEnd"/>
      <w:r w:rsidRPr="00EE60BF">
        <w:rPr>
          <w:rFonts w:ascii="Arial" w:hAnsi="Arial" w:cs="Arial"/>
          <w:i/>
          <w:iCs/>
        </w:rPr>
        <w:t xml:space="preserve"> </w:t>
      </w:r>
      <w:proofErr w:type="spellStart"/>
      <w:r w:rsidRPr="00EE60BF">
        <w:rPr>
          <w:rFonts w:ascii="Arial" w:hAnsi="Arial" w:cs="Arial"/>
          <w:i/>
          <w:iCs/>
        </w:rPr>
        <w:t>hodnotu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zachyceného</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3BEB4D77" w14:textId="77777777" w:rsidR="0084634C" w:rsidRDefault="0084634C" w:rsidP="0084634C">
      <w:pPr>
        <w:jc w:val="both"/>
        <w:rPr>
          <w:rFonts w:ascii="Arial" w:hAnsi="Arial" w:cs="Arial"/>
          <w:i/>
          <w:iCs/>
        </w:rPr>
      </w:pPr>
    </w:p>
    <w:p w14:paraId="4D0795DD" w14:textId="77777777" w:rsidR="0084634C" w:rsidRPr="00EE60BF" w:rsidRDefault="0084634C" w:rsidP="0084634C">
      <w:pPr>
        <w:jc w:val="both"/>
        <w:rPr>
          <w:rFonts w:ascii="Arial" w:hAnsi="Arial" w:cs="Arial"/>
          <w:i/>
          <w:iCs/>
        </w:rPr>
      </w:pPr>
    </w:p>
    <w:p w14:paraId="370D0BA3" w14:textId="77777777" w:rsidR="0084634C" w:rsidRPr="00EE60BF" w:rsidRDefault="0084634C" w:rsidP="0084634C">
      <w:pPr>
        <w:pStyle w:val="Odstavecseseznamem"/>
        <w:numPr>
          <w:ilvl w:val="1"/>
          <w:numId w:val="54"/>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lastRenderedPageBreak/>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0A844994" w14:textId="77777777" w:rsidR="0084634C" w:rsidRDefault="0084634C" w:rsidP="0084634C">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w:t>
      </w:r>
      <w:proofErr w:type="spellStart"/>
      <w:r w:rsidRPr="00EE60BF">
        <w:rPr>
          <w:rFonts w:ascii="Arial" w:hAnsi="Arial" w:cs="Arial"/>
          <w:b/>
          <w:bCs/>
        </w:rPr>
        <w:t>odst</w:t>
      </w:r>
      <w:proofErr w:type="spellEnd"/>
      <w:r w:rsidRPr="00EE60BF">
        <w:rPr>
          <w:rFonts w:ascii="Arial" w:hAnsi="Arial" w:cs="Arial"/>
          <w:b/>
          <w:bCs/>
        </w:rPr>
        <w:t xml:space="preserve">. 2 ZDP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dle</w:t>
      </w:r>
      <w:proofErr w:type="spellEnd"/>
      <w:r w:rsidRPr="00EE60BF">
        <w:rPr>
          <w:rFonts w:ascii="Arial" w:hAnsi="Arial" w:cs="Arial"/>
          <w:b/>
          <w:bCs/>
        </w:rPr>
        <w:t xml:space="preserve"> ZOM a </w:t>
      </w:r>
      <w:proofErr w:type="spellStart"/>
      <w:r w:rsidRPr="00EE60BF">
        <w:rPr>
          <w:rFonts w:ascii="Arial" w:hAnsi="Arial" w:cs="Arial"/>
          <w:b/>
          <w:bCs/>
        </w:rPr>
        <w:t>daňovou</w:t>
      </w:r>
      <w:proofErr w:type="spellEnd"/>
      <w:r w:rsidRPr="00EE60BF">
        <w:rPr>
          <w:rFonts w:ascii="Arial" w:hAnsi="Arial" w:cs="Arial"/>
          <w:b/>
          <w:bCs/>
        </w:rPr>
        <w:t xml:space="preserve"> </w:t>
      </w:r>
      <w:proofErr w:type="spellStart"/>
      <w:r w:rsidRPr="00EE60BF">
        <w:rPr>
          <w:rFonts w:ascii="Arial" w:hAnsi="Arial" w:cs="Arial"/>
          <w:b/>
          <w:bCs/>
        </w:rPr>
        <w:t>nabývací</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evidovanou</w:t>
      </w:r>
      <w:proofErr w:type="spellEnd"/>
      <w:r w:rsidRPr="00EE60BF">
        <w:rPr>
          <w:rFonts w:ascii="Arial" w:hAnsi="Arial" w:cs="Arial"/>
          <w:b/>
          <w:bCs/>
        </w:rPr>
        <w:t xml:space="preserve"> u </w:t>
      </w:r>
      <w:proofErr w:type="spellStart"/>
      <w:r w:rsidRPr="00EE60BF">
        <w:rPr>
          <w:rFonts w:ascii="Arial" w:hAnsi="Arial" w:cs="Arial"/>
          <w:b/>
          <w:bCs/>
        </w:rPr>
        <w:t>společníka</w:t>
      </w:r>
      <w:proofErr w:type="spellEnd"/>
      <w:r w:rsidRPr="00EE60BF">
        <w:rPr>
          <w:rFonts w:ascii="Arial" w:hAnsi="Arial" w:cs="Arial"/>
          <w:b/>
          <w:bCs/>
        </w:rPr>
        <w:t>.</w:t>
      </w:r>
    </w:p>
    <w:p w14:paraId="100772AF" w14:textId="77777777" w:rsidR="0084634C" w:rsidRPr="00EE60BF" w:rsidRDefault="0084634C" w:rsidP="0084634C">
      <w:pPr>
        <w:jc w:val="both"/>
        <w:rPr>
          <w:rFonts w:ascii="Arial" w:hAnsi="Arial" w:cs="Arial"/>
          <w:b/>
          <w:bCs/>
        </w:rPr>
      </w:pPr>
    </w:p>
    <w:p w14:paraId="08C754BB" w14:textId="77777777" w:rsidR="0084634C" w:rsidRDefault="0084634C" w:rsidP="0084634C">
      <w:pPr>
        <w:jc w:val="both"/>
        <w:rPr>
          <w:rFonts w:ascii="Arial" w:hAnsi="Arial" w:cs="Arial"/>
          <w:b/>
          <w:bCs/>
        </w:rPr>
      </w:pPr>
      <w:proofErr w:type="spellStart"/>
      <w:r w:rsidRPr="00EE60BF">
        <w:rPr>
          <w:rFonts w:ascii="Arial" w:hAnsi="Arial" w:cs="Arial"/>
          <w:b/>
          <w:bCs/>
        </w:rPr>
        <w:t>Protože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právnické</w:t>
      </w:r>
      <w:proofErr w:type="spellEnd"/>
      <w:r w:rsidRPr="00EE60BF">
        <w:rPr>
          <w:rFonts w:ascii="Arial" w:hAnsi="Arial" w:cs="Arial"/>
          <w:b/>
          <w:bCs/>
        </w:rPr>
        <w:t xml:space="preserve"> </w:t>
      </w:r>
      <w:proofErr w:type="spellStart"/>
      <w:r w:rsidRPr="00EE60BF">
        <w:rPr>
          <w:rFonts w:ascii="Arial" w:hAnsi="Arial" w:cs="Arial"/>
          <w:b/>
          <w:bCs/>
        </w:rPr>
        <w:t>osoby</w:t>
      </w:r>
      <w:proofErr w:type="spellEnd"/>
      <w:r w:rsidRPr="00EE60BF">
        <w:rPr>
          <w:rFonts w:ascii="Arial" w:hAnsi="Arial" w:cs="Arial"/>
          <w:b/>
          <w:bCs/>
        </w:rPr>
        <w:t xml:space="preserve"> </w:t>
      </w:r>
      <w:proofErr w:type="spellStart"/>
      <w:r w:rsidRPr="00EE60BF">
        <w:rPr>
          <w:rFonts w:ascii="Arial" w:hAnsi="Arial" w:cs="Arial"/>
          <w:b/>
          <w:bCs/>
        </w:rPr>
        <w:t>nedopadá</w:t>
      </w:r>
      <w:proofErr w:type="spellEnd"/>
      <w:r w:rsidRPr="00EE60BF">
        <w:rPr>
          <w:rFonts w:ascii="Arial" w:hAnsi="Arial" w:cs="Arial"/>
          <w:b/>
          <w:bCs/>
        </w:rPr>
        <w:t xml:space="preserve"> </w:t>
      </w:r>
      <w:proofErr w:type="spellStart"/>
      <w:r w:rsidRPr="00EE60BF">
        <w:rPr>
          <w:rFonts w:ascii="Arial" w:hAnsi="Arial" w:cs="Arial"/>
          <w:b/>
          <w:bCs/>
        </w:rPr>
        <w:t>zvláštní</w:t>
      </w:r>
      <w:proofErr w:type="spellEnd"/>
      <w:r w:rsidRPr="00EE60BF">
        <w:rPr>
          <w:rFonts w:ascii="Arial" w:hAnsi="Arial" w:cs="Arial"/>
          <w:b/>
          <w:bCs/>
        </w:rPr>
        <w:t xml:space="preserve"> </w:t>
      </w:r>
      <w:proofErr w:type="spellStart"/>
      <w:r w:rsidRPr="00EE60BF">
        <w:rPr>
          <w:rFonts w:ascii="Arial" w:hAnsi="Arial" w:cs="Arial"/>
          <w:b/>
          <w:bCs/>
        </w:rPr>
        <w:t>úprava</w:t>
      </w:r>
      <w:proofErr w:type="spellEnd"/>
      <w:r w:rsidRPr="00EE60BF">
        <w:rPr>
          <w:rFonts w:ascii="Arial" w:hAnsi="Arial" w:cs="Arial"/>
          <w:b/>
          <w:bCs/>
        </w:rPr>
        <w:t xml:space="preserve"> v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která</w:t>
      </w:r>
      <w:proofErr w:type="spellEnd"/>
      <w:r w:rsidRPr="00EE60BF">
        <w:rPr>
          <w:rFonts w:ascii="Arial" w:hAnsi="Arial" w:cs="Arial"/>
          <w:b/>
          <w:bCs/>
        </w:rPr>
        <w:t xml:space="preserve">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uplatnění</w:t>
      </w:r>
      <w:proofErr w:type="spellEnd"/>
      <w:r w:rsidRPr="00EE60BF">
        <w:rPr>
          <w:rFonts w:ascii="Arial" w:hAnsi="Arial" w:cs="Arial"/>
          <w:b/>
          <w:bCs/>
        </w:rPr>
        <w:t xml:space="preserve"> </w:t>
      </w:r>
      <w:proofErr w:type="spellStart"/>
      <w:r w:rsidRPr="00EE60BF">
        <w:rPr>
          <w:rFonts w:ascii="Arial" w:hAnsi="Arial" w:cs="Arial"/>
          <w:b/>
          <w:bCs/>
        </w:rPr>
        <w:t>konečné</w:t>
      </w:r>
      <w:proofErr w:type="spellEnd"/>
      <w:r w:rsidRPr="00EE60BF">
        <w:rPr>
          <w:rFonts w:ascii="Arial" w:hAnsi="Arial" w:cs="Arial"/>
          <w:b/>
          <w:bCs/>
        </w:rPr>
        <w:t xml:space="preserve"> </w:t>
      </w:r>
      <w:proofErr w:type="spellStart"/>
      <w:r w:rsidRPr="00EE60BF">
        <w:rPr>
          <w:rFonts w:ascii="Arial" w:hAnsi="Arial" w:cs="Arial"/>
          <w:b/>
          <w:bCs/>
        </w:rPr>
        <w:t>srážkové</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w:t>
      </w:r>
      <w:proofErr w:type="spellStart"/>
      <w:r w:rsidRPr="00EE60BF">
        <w:rPr>
          <w:rFonts w:ascii="Arial" w:hAnsi="Arial" w:cs="Arial"/>
          <w:b/>
          <w:bCs/>
        </w:rPr>
        <w:t>musí</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w:t>
      </w:r>
      <w:proofErr w:type="spellStart"/>
      <w:r w:rsidRPr="00EE60BF">
        <w:rPr>
          <w:rFonts w:ascii="Arial" w:hAnsi="Arial" w:cs="Arial"/>
          <w:b/>
          <w:bCs/>
        </w:rPr>
        <w:t>postupovat</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23 </w:t>
      </w:r>
      <w:proofErr w:type="spellStart"/>
      <w:r w:rsidRPr="00EE60BF">
        <w:rPr>
          <w:rFonts w:ascii="Arial" w:hAnsi="Arial" w:cs="Arial"/>
          <w:b/>
          <w:bCs/>
        </w:rPr>
        <w:t>odst</w:t>
      </w:r>
      <w:proofErr w:type="spellEnd"/>
      <w:r w:rsidRPr="00EE60BF">
        <w:rPr>
          <w:rFonts w:ascii="Arial" w:hAnsi="Arial" w:cs="Arial"/>
          <w:b/>
          <w:bCs/>
        </w:rPr>
        <w:t xml:space="preserve">. 3 </w:t>
      </w:r>
      <w:proofErr w:type="spellStart"/>
      <w:r w:rsidRPr="00EE60BF">
        <w:rPr>
          <w:rFonts w:ascii="Arial" w:hAnsi="Arial" w:cs="Arial"/>
          <w:b/>
          <w:bCs/>
        </w:rPr>
        <w:t>písm</w:t>
      </w:r>
      <w:proofErr w:type="spellEnd"/>
      <w:r w:rsidRPr="00EE60BF">
        <w:rPr>
          <w:rFonts w:ascii="Arial" w:hAnsi="Arial" w:cs="Arial"/>
          <w:b/>
          <w:bCs/>
        </w:rPr>
        <w:t xml:space="preserve">. a) bod 10 ZDP a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o </w:t>
      </w:r>
      <w:proofErr w:type="spellStart"/>
      <w:r w:rsidRPr="00EE60BF">
        <w:rPr>
          <w:rFonts w:ascii="Arial" w:hAnsi="Arial" w:cs="Arial"/>
          <w:b/>
          <w:bCs/>
        </w:rPr>
        <w:t>kladný</w:t>
      </w:r>
      <w:proofErr w:type="spellEnd"/>
      <w:r w:rsidRPr="00EE60BF">
        <w:rPr>
          <w:rFonts w:ascii="Arial" w:hAnsi="Arial" w:cs="Arial"/>
          <w:b/>
          <w:bCs/>
        </w:rPr>
        <w:t xml:space="preserve">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majetku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ZOM a </w:t>
      </w:r>
      <w:proofErr w:type="spellStart"/>
      <w:r w:rsidRPr="00EE60BF">
        <w:rPr>
          <w:rFonts w:ascii="Arial" w:hAnsi="Arial" w:cs="Arial"/>
          <w:b/>
          <w:bCs/>
        </w:rPr>
        <w:t>výší</w:t>
      </w:r>
      <w:proofErr w:type="spellEnd"/>
      <w:r w:rsidRPr="00EE60BF">
        <w:rPr>
          <w:rFonts w:ascii="Arial" w:hAnsi="Arial" w:cs="Arial"/>
          <w:b/>
          <w:bCs/>
        </w:rPr>
        <w:t xml:space="preserve"> </w:t>
      </w:r>
      <w:proofErr w:type="spellStart"/>
      <w:r w:rsidRPr="00EE60BF">
        <w:rPr>
          <w:rFonts w:ascii="Arial" w:hAnsi="Arial" w:cs="Arial"/>
          <w:b/>
          <w:bCs/>
        </w:rPr>
        <w:t>jeho</w:t>
      </w:r>
      <w:proofErr w:type="spellEnd"/>
      <w:r w:rsidRPr="00EE60BF">
        <w:rPr>
          <w:rFonts w:ascii="Arial" w:hAnsi="Arial" w:cs="Arial"/>
          <w:b/>
          <w:bCs/>
        </w:rPr>
        <w:t xml:space="preserve"> </w:t>
      </w:r>
      <w:proofErr w:type="spellStart"/>
      <w:r w:rsidRPr="00EE60BF">
        <w:rPr>
          <w:rFonts w:ascii="Arial" w:hAnsi="Arial" w:cs="Arial"/>
          <w:b/>
          <w:bCs/>
        </w:rPr>
        <w:t>hodnoty</w:t>
      </w:r>
      <w:proofErr w:type="spellEnd"/>
      <w:r w:rsidRPr="00EE60BF">
        <w:rPr>
          <w:rFonts w:ascii="Arial" w:hAnsi="Arial" w:cs="Arial"/>
          <w:b/>
          <w:bCs/>
        </w:rPr>
        <w:t xml:space="preserve"> </w:t>
      </w:r>
      <w:proofErr w:type="spellStart"/>
      <w:r w:rsidRPr="00EE60BF">
        <w:rPr>
          <w:rFonts w:ascii="Arial" w:hAnsi="Arial" w:cs="Arial"/>
          <w:b/>
          <w:bCs/>
        </w:rPr>
        <w:t>zachycené</w:t>
      </w:r>
      <w:proofErr w:type="spellEnd"/>
      <w:r w:rsidRPr="00EE60BF">
        <w:rPr>
          <w:rFonts w:ascii="Arial" w:hAnsi="Arial" w:cs="Arial"/>
          <w:b/>
          <w:bCs/>
        </w:rPr>
        <w:t xml:space="preserve"> v </w:t>
      </w:r>
      <w:proofErr w:type="spellStart"/>
      <w:r w:rsidRPr="00EE60BF">
        <w:rPr>
          <w:rFonts w:ascii="Arial" w:hAnsi="Arial" w:cs="Arial"/>
          <w:b/>
          <w:bCs/>
        </w:rPr>
        <w:t>účetnictví</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
    <w:p w14:paraId="620A4367" w14:textId="77777777" w:rsidR="0084634C" w:rsidRDefault="0084634C" w:rsidP="0084634C">
      <w:pPr>
        <w:jc w:val="both"/>
        <w:rPr>
          <w:rFonts w:ascii="Arial" w:hAnsi="Arial" w:cs="Arial"/>
          <w:b/>
          <w:bCs/>
        </w:rPr>
      </w:pPr>
    </w:p>
    <w:p w14:paraId="338D6092" w14:textId="77777777" w:rsidR="0084634C" w:rsidRDefault="0084634C" w:rsidP="0049516A">
      <w:pPr>
        <w:jc w:val="center"/>
        <w:rPr>
          <w:rFonts w:ascii="Arial" w:hAnsi="Arial" w:cs="Arial"/>
          <w:b/>
          <w:u w:val="single"/>
          <w:lang w:val="cs-CZ"/>
        </w:rPr>
      </w:pPr>
    </w:p>
    <w:p w14:paraId="1548FDF1" w14:textId="77777777" w:rsidR="0084634C" w:rsidRDefault="0084634C" w:rsidP="0049516A">
      <w:pPr>
        <w:jc w:val="center"/>
        <w:rPr>
          <w:rFonts w:ascii="Arial" w:hAnsi="Arial" w:cs="Arial"/>
          <w:b/>
          <w:u w:val="single"/>
          <w:lang w:val="cs-CZ"/>
        </w:rPr>
      </w:pPr>
    </w:p>
    <w:p w14:paraId="1AC163DC" w14:textId="77777777" w:rsidR="0084634C" w:rsidRDefault="0084634C" w:rsidP="0049516A">
      <w:pPr>
        <w:jc w:val="center"/>
        <w:rPr>
          <w:rFonts w:ascii="Arial" w:hAnsi="Arial" w:cs="Arial"/>
          <w:b/>
          <w:u w:val="single"/>
          <w:lang w:val="cs-CZ"/>
        </w:rPr>
      </w:pPr>
    </w:p>
    <w:p w14:paraId="67D4CB49" w14:textId="77777777" w:rsidR="0084634C" w:rsidRDefault="0084634C" w:rsidP="0049516A">
      <w:pPr>
        <w:jc w:val="center"/>
        <w:rPr>
          <w:rFonts w:ascii="Arial" w:hAnsi="Arial" w:cs="Arial"/>
          <w:b/>
          <w:u w:val="single"/>
          <w:lang w:val="cs-CZ"/>
        </w:rPr>
      </w:pPr>
    </w:p>
    <w:p w14:paraId="1084F666" w14:textId="77777777" w:rsidR="0084634C" w:rsidRDefault="0084634C" w:rsidP="0049516A">
      <w:pPr>
        <w:jc w:val="center"/>
        <w:rPr>
          <w:rFonts w:ascii="Arial" w:hAnsi="Arial" w:cs="Arial"/>
          <w:b/>
          <w:u w:val="single"/>
          <w:lang w:val="cs-CZ"/>
        </w:rPr>
      </w:pPr>
    </w:p>
    <w:p w14:paraId="4752499B" w14:textId="77777777" w:rsidR="0084634C" w:rsidRDefault="0084634C" w:rsidP="0049516A">
      <w:pPr>
        <w:jc w:val="center"/>
        <w:rPr>
          <w:rFonts w:ascii="Arial" w:hAnsi="Arial" w:cs="Arial"/>
          <w:b/>
          <w:u w:val="single"/>
          <w:lang w:val="cs-CZ"/>
        </w:rPr>
      </w:pPr>
    </w:p>
    <w:p w14:paraId="0733492A" w14:textId="77777777" w:rsidR="0084634C" w:rsidRDefault="0084634C" w:rsidP="0049516A">
      <w:pPr>
        <w:jc w:val="center"/>
        <w:rPr>
          <w:rFonts w:ascii="Arial" w:hAnsi="Arial" w:cs="Arial"/>
          <w:b/>
          <w:u w:val="single"/>
          <w:lang w:val="cs-CZ"/>
        </w:rPr>
      </w:pPr>
    </w:p>
    <w:p w14:paraId="3D097F30" w14:textId="77777777" w:rsidR="0084634C" w:rsidRDefault="0084634C" w:rsidP="0049516A">
      <w:pPr>
        <w:jc w:val="center"/>
        <w:rPr>
          <w:rFonts w:ascii="Arial" w:hAnsi="Arial" w:cs="Arial"/>
          <w:b/>
          <w:u w:val="single"/>
          <w:lang w:val="cs-CZ"/>
        </w:rPr>
      </w:pPr>
    </w:p>
    <w:p w14:paraId="1833EE42" w14:textId="77777777" w:rsidR="0084634C" w:rsidRDefault="0084634C" w:rsidP="0049516A">
      <w:pPr>
        <w:jc w:val="center"/>
        <w:rPr>
          <w:rFonts w:ascii="Arial" w:hAnsi="Arial" w:cs="Arial"/>
          <w:b/>
          <w:u w:val="single"/>
          <w:lang w:val="cs-CZ"/>
        </w:rPr>
      </w:pPr>
    </w:p>
    <w:p w14:paraId="358F5472" w14:textId="77777777" w:rsidR="0084634C" w:rsidRDefault="0084634C" w:rsidP="0049516A">
      <w:pPr>
        <w:jc w:val="center"/>
        <w:rPr>
          <w:rFonts w:ascii="Arial" w:hAnsi="Arial" w:cs="Arial"/>
          <w:b/>
          <w:u w:val="single"/>
          <w:lang w:val="cs-CZ"/>
        </w:rPr>
      </w:pPr>
    </w:p>
    <w:p w14:paraId="6D1DA2E6" w14:textId="77777777" w:rsidR="0084634C" w:rsidRDefault="0084634C" w:rsidP="0049516A">
      <w:pPr>
        <w:jc w:val="center"/>
        <w:rPr>
          <w:rFonts w:ascii="Arial" w:hAnsi="Arial" w:cs="Arial"/>
          <w:b/>
          <w:u w:val="single"/>
          <w:lang w:val="cs-CZ"/>
        </w:rPr>
      </w:pPr>
    </w:p>
    <w:p w14:paraId="72382DEA" w14:textId="77777777" w:rsidR="0084634C" w:rsidRDefault="0084634C" w:rsidP="0049516A">
      <w:pPr>
        <w:jc w:val="center"/>
        <w:rPr>
          <w:rFonts w:ascii="Arial" w:hAnsi="Arial" w:cs="Arial"/>
          <w:b/>
          <w:u w:val="single"/>
          <w:lang w:val="cs-CZ"/>
        </w:rPr>
      </w:pPr>
    </w:p>
    <w:p w14:paraId="5463399B" w14:textId="77777777" w:rsidR="0084634C" w:rsidRDefault="0084634C" w:rsidP="0049516A">
      <w:pPr>
        <w:jc w:val="center"/>
        <w:rPr>
          <w:rFonts w:ascii="Arial" w:hAnsi="Arial" w:cs="Arial"/>
          <w:b/>
          <w:u w:val="single"/>
          <w:lang w:val="cs-CZ"/>
        </w:rPr>
      </w:pPr>
    </w:p>
    <w:p w14:paraId="602D59EB" w14:textId="77777777" w:rsidR="0084634C" w:rsidRDefault="0084634C" w:rsidP="0049516A">
      <w:pPr>
        <w:jc w:val="center"/>
        <w:rPr>
          <w:rFonts w:ascii="Arial" w:hAnsi="Arial" w:cs="Arial"/>
          <w:b/>
          <w:u w:val="single"/>
          <w:lang w:val="cs-CZ"/>
        </w:rPr>
      </w:pPr>
    </w:p>
    <w:p w14:paraId="05386215" w14:textId="77777777" w:rsidR="0084634C" w:rsidRDefault="0084634C" w:rsidP="0049516A">
      <w:pPr>
        <w:jc w:val="center"/>
        <w:rPr>
          <w:rFonts w:ascii="Arial" w:hAnsi="Arial" w:cs="Arial"/>
          <w:b/>
          <w:u w:val="single"/>
          <w:lang w:val="cs-CZ"/>
        </w:rPr>
      </w:pPr>
    </w:p>
    <w:p w14:paraId="23C9CBE9" w14:textId="77777777" w:rsidR="0084634C" w:rsidRDefault="0084634C" w:rsidP="0049516A">
      <w:pPr>
        <w:jc w:val="center"/>
        <w:rPr>
          <w:rFonts w:ascii="Arial" w:hAnsi="Arial" w:cs="Arial"/>
          <w:b/>
          <w:u w:val="single"/>
          <w:lang w:val="cs-CZ"/>
        </w:rPr>
      </w:pPr>
    </w:p>
    <w:p w14:paraId="197419A8" w14:textId="77777777" w:rsidR="0084634C" w:rsidRDefault="0084634C" w:rsidP="0049516A">
      <w:pPr>
        <w:jc w:val="center"/>
        <w:rPr>
          <w:rFonts w:ascii="Arial" w:hAnsi="Arial" w:cs="Arial"/>
          <w:b/>
          <w:u w:val="single"/>
          <w:lang w:val="cs-CZ"/>
        </w:rPr>
      </w:pPr>
    </w:p>
    <w:p w14:paraId="71D90139" w14:textId="77777777" w:rsidR="0084634C" w:rsidRDefault="0084634C" w:rsidP="0049516A">
      <w:pPr>
        <w:jc w:val="center"/>
        <w:rPr>
          <w:rFonts w:ascii="Arial" w:hAnsi="Arial" w:cs="Arial"/>
          <w:b/>
          <w:u w:val="single"/>
          <w:lang w:val="cs-CZ"/>
        </w:rPr>
      </w:pPr>
    </w:p>
    <w:p w14:paraId="79844B15" w14:textId="77777777" w:rsidR="0084634C" w:rsidRDefault="0084634C" w:rsidP="0049516A">
      <w:pPr>
        <w:jc w:val="center"/>
        <w:rPr>
          <w:rFonts w:ascii="Arial" w:hAnsi="Arial" w:cs="Arial"/>
          <w:b/>
          <w:u w:val="single"/>
          <w:lang w:val="cs-CZ"/>
        </w:rPr>
      </w:pPr>
    </w:p>
    <w:p w14:paraId="5DBABD3A" w14:textId="77777777" w:rsidR="0084634C" w:rsidRDefault="0084634C" w:rsidP="0049516A">
      <w:pPr>
        <w:jc w:val="center"/>
        <w:rPr>
          <w:rFonts w:ascii="Arial" w:hAnsi="Arial" w:cs="Arial"/>
          <w:b/>
          <w:u w:val="single"/>
          <w:lang w:val="cs-CZ"/>
        </w:rPr>
      </w:pPr>
    </w:p>
    <w:p w14:paraId="1E9D4CB0" w14:textId="77777777" w:rsidR="0084634C" w:rsidRDefault="0084634C" w:rsidP="0049516A">
      <w:pPr>
        <w:jc w:val="center"/>
        <w:rPr>
          <w:rFonts w:ascii="Arial" w:hAnsi="Arial" w:cs="Arial"/>
          <w:b/>
          <w:u w:val="single"/>
          <w:lang w:val="cs-CZ"/>
        </w:rPr>
      </w:pPr>
    </w:p>
    <w:p w14:paraId="24D41AA3" w14:textId="77777777" w:rsidR="0084634C" w:rsidRDefault="0084634C" w:rsidP="0049516A">
      <w:pPr>
        <w:jc w:val="center"/>
        <w:rPr>
          <w:rFonts w:ascii="Arial" w:hAnsi="Arial" w:cs="Arial"/>
          <w:b/>
          <w:u w:val="single"/>
          <w:lang w:val="cs-CZ"/>
        </w:rPr>
      </w:pPr>
    </w:p>
    <w:p w14:paraId="6562DC56" w14:textId="77777777" w:rsidR="0084634C" w:rsidRDefault="0084634C" w:rsidP="0049516A">
      <w:pPr>
        <w:jc w:val="center"/>
        <w:rPr>
          <w:rFonts w:ascii="Arial" w:hAnsi="Arial" w:cs="Arial"/>
          <w:b/>
          <w:u w:val="single"/>
          <w:lang w:val="cs-CZ"/>
        </w:rPr>
      </w:pPr>
    </w:p>
    <w:p w14:paraId="04B56BF0" w14:textId="77777777" w:rsidR="0084634C" w:rsidRDefault="0084634C" w:rsidP="0049516A">
      <w:pPr>
        <w:jc w:val="center"/>
        <w:rPr>
          <w:rFonts w:ascii="Arial" w:hAnsi="Arial" w:cs="Arial"/>
          <w:b/>
          <w:u w:val="single"/>
          <w:lang w:val="cs-CZ"/>
        </w:rPr>
      </w:pPr>
    </w:p>
    <w:p w14:paraId="2B6C1CD9" w14:textId="77777777" w:rsidR="0084634C" w:rsidRDefault="0084634C" w:rsidP="0049516A">
      <w:pPr>
        <w:jc w:val="center"/>
        <w:rPr>
          <w:rFonts w:ascii="Arial" w:hAnsi="Arial" w:cs="Arial"/>
          <w:b/>
          <w:u w:val="single"/>
          <w:lang w:val="cs-CZ"/>
        </w:rPr>
      </w:pPr>
    </w:p>
    <w:p w14:paraId="7F1EA874" w14:textId="77777777" w:rsidR="0084634C" w:rsidRDefault="0084634C" w:rsidP="0049516A">
      <w:pPr>
        <w:jc w:val="center"/>
        <w:rPr>
          <w:rFonts w:ascii="Arial" w:hAnsi="Arial" w:cs="Arial"/>
          <w:b/>
          <w:u w:val="single"/>
          <w:lang w:val="cs-CZ"/>
        </w:rPr>
      </w:pPr>
    </w:p>
    <w:p w14:paraId="3D992872" w14:textId="77777777" w:rsidR="0084634C" w:rsidRDefault="0084634C" w:rsidP="0049516A">
      <w:pPr>
        <w:jc w:val="center"/>
        <w:rPr>
          <w:rFonts w:ascii="Arial" w:hAnsi="Arial" w:cs="Arial"/>
          <w:b/>
          <w:u w:val="single"/>
          <w:lang w:val="cs-CZ"/>
        </w:rPr>
      </w:pPr>
    </w:p>
    <w:p w14:paraId="2C5E7FA0" w14:textId="77777777" w:rsidR="0084634C" w:rsidRDefault="0084634C" w:rsidP="0049516A">
      <w:pPr>
        <w:jc w:val="center"/>
        <w:rPr>
          <w:rFonts w:ascii="Arial" w:hAnsi="Arial" w:cs="Arial"/>
          <w:b/>
          <w:u w:val="single"/>
          <w:lang w:val="cs-CZ"/>
        </w:rPr>
      </w:pPr>
    </w:p>
    <w:p w14:paraId="4832A66A" w14:textId="77777777" w:rsidR="0084634C" w:rsidRDefault="0084634C" w:rsidP="0049516A">
      <w:pPr>
        <w:jc w:val="center"/>
        <w:rPr>
          <w:rFonts w:ascii="Arial" w:hAnsi="Arial" w:cs="Arial"/>
          <w:b/>
          <w:u w:val="single"/>
          <w:lang w:val="cs-CZ"/>
        </w:rPr>
      </w:pPr>
    </w:p>
    <w:p w14:paraId="257FF89F" w14:textId="77777777" w:rsidR="0084634C" w:rsidRDefault="0084634C" w:rsidP="0049516A">
      <w:pPr>
        <w:jc w:val="center"/>
        <w:rPr>
          <w:rFonts w:ascii="Arial" w:hAnsi="Arial" w:cs="Arial"/>
          <w:b/>
          <w:u w:val="single"/>
          <w:lang w:val="cs-CZ"/>
        </w:rPr>
      </w:pPr>
    </w:p>
    <w:p w14:paraId="57B1906D" w14:textId="77777777" w:rsidR="0084634C" w:rsidRDefault="0084634C" w:rsidP="0049516A">
      <w:pPr>
        <w:jc w:val="center"/>
        <w:rPr>
          <w:rFonts w:ascii="Arial" w:hAnsi="Arial" w:cs="Arial"/>
          <w:b/>
          <w:u w:val="single"/>
          <w:lang w:val="cs-CZ"/>
        </w:rPr>
      </w:pPr>
    </w:p>
    <w:p w14:paraId="2B745CF9" w14:textId="77777777" w:rsidR="0084634C" w:rsidRDefault="0084634C" w:rsidP="0049516A">
      <w:pPr>
        <w:jc w:val="center"/>
        <w:rPr>
          <w:rFonts w:ascii="Arial" w:hAnsi="Arial" w:cs="Arial"/>
          <w:b/>
          <w:u w:val="single"/>
          <w:lang w:val="cs-CZ"/>
        </w:rPr>
      </w:pPr>
    </w:p>
    <w:p w14:paraId="16EA2966" w14:textId="77777777" w:rsidR="0084634C" w:rsidRDefault="0084634C" w:rsidP="0049516A">
      <w:pPr>
        <w:jc w:val="center"/>
        <w:rPr>
          <w:rFonts w:ascii="Arial" w:hAnsi="Arial" w:cs="Arial"/>
          <w:b/>
          <w:u w:val="single"/>
          <w:lang w:val="cs-CZ"/>
        </w:rPr>
      </w:pPr>
    </w:p>
    <w:p w14:paraId="12E0F86A" w14:textId="77777777" w:rsidR="0084634C" w:rsidRDefault="0084634C" w:rsidP="0049516A">
      <w:pPr>
        <w:jc w:val="center"/>
        <w:rPr>
          <w:rFonts w:ascii="Arial" w:hAnsi="Arial" w:cs="Arial"/>
          <w:b/>
          <w:u w:val="single"/>
          <w:lang w:val="cs-CZ"/>
        </w:rPr>
      </w:pPr>
    </w:p>
    <w:p w14:paraId="2653385D" w14:textId="77777777" w:rsidR="0084634C" w:rsidRDefault="0084634C" w:rsidP="0049516A">
      <w:pPr>
        <w:jc w:val="center"/>
        <w:rPr>
          <w:rFonts w:ascii="Arial" w:hAnsi="Arial" w:cs="Arial"/>
          <w:b/>
          <w:u w:val="single"/>
          <w:lang w:val="cs-CZ"/>
        </w:rPr>
      </w:pPr>
    </w:p>
    <w:p w14:paraId="3C7073CA" w14:textId="77777777" w:rsidR="0084634C" w:rsidRDefault="0084634C" w:rsidP="0049516A">
      <w:pPr>
        <w:jc w:val="center"/>
        <w:rPr>
          <w:rFonts w:ascii="Arial" w:hAnsi="Arial" w:cs="Arial"/>
          <w:b/>
          <w:u w:val="single"/>
          <w:lang w:val="cs-CZ"/>
        </w:rPr>
      </w:pPr>
    </w:p>
    <w:p w14:paraId="273A427E" w14:textId="77777777" w:rsidR="0084634C" w:rsidRDefault="0084634C" w:rsidP="0049516A">
      <w:pPr>
        <w:jc w:val="center"/>
        <w:rPr>
          <w:rFonts w:ascii="Arial" w:hAnsi="Arial" w:cs="Arial"/>
          <w:b/>
          <w:u w:val="single"/>
          <w:lang w:val="cs-CZ"/>
        </w:rPr>
      </w:pPr>
    </w:p>
    <w:p w14:paraId="2EE92FE2" w14:textId="77777777" w:rsidR="00CD6AF3" w:rsidRPr="00CD6AF3" w:rsidRDefault="00CD6AF3" w:rsidP="00CD6AF3">
      <w:pPr>
        <w:jc w:val="center"/>
        <w:rPr>
          <w:rFonts w:ascii="Arial" w:hAnsi="Arial" w:cs="Arial"/>
          <w:b/>
          <w:color w:val="000000"/>
          <w:sz w:val="32"/>
          <w:szCs w:val="32"/>
          <w:u w:val="single"/>
          <w:shd w:val="clear" w:color="auto" w:fill="FFFFFF"/>
          <w:lang w:val="cs-CZ"/>
        </w:rPr>
      </w:pPr>
      <w:r w:rsidRPr="00CD6AF3">
        <w:rPr>
          <w:rFonts w:ascii="Arial" w:hAnsi="Arial" w:cs="Arial"/>
          <w:b/>
          <w:color w:val="000000"/>
          <w:sz w:val="32"/>
          <w:szCs w:val="32"/>
          <w:highlight w:val="yellow"/>
          <w:u w:val="single"/>
          <w:shd w:val="clear" w:color="auto" w:fill="FFFFFF"/>
          <w:lang w:val="cs-CZ"/>
        </w:rPr>
        <w:lastRenderedPageBreak/>
        <w:t>NEUZAVŘENÝ PŘÍSPĚVEK</w:t>
      </w:r>
    </w:p>
    <w:p w14:paraId="37631054" w14:textId="7C692BFF" w:rsidR="0049516A" w:rsidRPr="0049516A" w:rsidRDefault="0049516A" w:rsidP="0049516A">
      <w:pPr>
        <w:jc w:val="center"/>
        <w:rPr>
          <w:rFonts w:ascii="Arial" w:hAnsi="Arial" w:cs="Arial"/>
          <w:b/>
          <w:u w:val="single"/>
          <w:lang w:val="cs-CZ"/>
        </w:rPr>
      </w:pPr>
      <w:r>
        <w:rPr>
          <w:rFonts w:ascii="Arial" w:hAnsi="Arial" w:cs="Arial"/>
          <w:b/>
          <w:color w:val="000000"/>
          <w:u w:val="single"/>
          <w:shd w:val="clear" w:color="auto" w:fill="FFFFFF"/>
          <w:lang w:val="cs-CZ"/>
        </w:rPr>
        <w:t>Daň z příjmů</w:t>
      </w:r>
    </w:p>
    <w:p w14:paraId="6E76321E" w14:textId="77777777" w:rsidR="0049516A" w:rsidRDefault="0049516A" w:rsidP="0049516A">
      <w:pPr>
        <w:jc w:val="center"/>
        <w:rPr>
          <w:rFonts w:ascii="Arial" w:hAnsi="Arial" w:cs="Arial"/>
          <w:b/>
          <w:u w:val="single"/>
          <w:lang w:val="cs-CZ"/>
        </w:rPr>
      </w:pPr>
    </w:p>
    <w:p w14:paraId="476D8D4D" w14:textId="77777777" w:rsidR="0049516A" w:rsidRPr="0049516A" w:rsidRDefault="0049516A" w:rsidP="0049516A">
      <w:pPr>
        <w:jc w:val="center"/>
        <w:rPr>
          <w:rFonts w:ascii="Arial" w:hAnsi="Arial" w:cs="Arial"/>
          <w:b/>
          <w:u w:val="single"/>
          <w:lang w:val="cs-CZ"/>
        </w:rPr>
      </w:pPr>
    </w:p>
    <w:p w14:paraId="50D2AC19" w14:textId="77777777" w:rsidR="0049516A" w:rsidRPr="006F7F9C" w:rsidRDefault="0049516A" w:rsidP="0049516A">
      <w:pPr>
        <w:rPr>
          <w:rFonts w:ascii="Arial" w:hAnsi="Arial" w:cs="Arial"/>
          <w:b/>
          <w:color w:val="000000"/>
          <w:shd w:val="clear" w:color="auto" w:fill="FFFFFF"/>
          <w:lang w:val="cs-CZ"/>
        </w:rPr>
      </w:pPr>
      <w:r w:rsidRPr="001D749F">
        <w:rPr>
          <w:rFonts w:ascii="Arial" w:hAnsi="Arial" w:cs="Arial"/>
          <w:b/>
          <w:color w:val="000000"/>
          <w:shd w:val="clear" w:color="auto" w:fill="FFFFFF"/>
          <w:lang w:val="cs-CZ"/>
        </w:rPr>
        <w:t>607/</w:t>
      </w:r>
      <w:r w:rsidRPr="006F7F9C">
        <w:rPr>
          <w:rFonts w:ascii="Arial" w:hAnsi="Arial" w:cs="Arial"/>
          <w:b/>
          <w:color w:val="000000"/>
          <w:shd w:val="clear" w:color="auto" w:fill="FFFFFF"/>
          <w:lang w:val="cs-CZ"/>
        </w:rPr>
        <w:t>03.05.23 Odvod z elektřiny ze slunečního záření</w:t>
      </w:r>
    </w:p>
    <w:p w14:paraId="3D210EDA" w14:textId="77777777" w:rsidR="0049516A" w:rsidRPr="006F7F9C" w:rsidRDefault="0049516A" w:rsidP="0049516A">
      <w:pPr>
        <w:rPr>
          <w:rFonts w:ascii="Arial" w:hAnsi="Arial" w:cs="Arial"/>
          <w:color w:val="000000"/>
          <w:shd w:val="clear" w:color="auto" w:fill="FFFFFF"/>
          <w:lang w:val="cs-CZ"/>
        </w:rPr>
      </w:pPr>
    </w:p>
    <w:p w14:paraId="38439DE2" w14:textId="77777777" w:rsidR="0049516A" w:rsidRPr="006F7F9C" w:rsidRDefault="0049516A" w:rsidP="0049516A">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150CB508" w14:textId="77777777" w:rsidR="0049516A" w:rsidRPr="006F7F9C" w:rsidRDefault="0049516A" w:rsidP="0049516A">
      <w:pPr>
        <w:rPr>
          <w:rFonts w:ascii="Arial" w:hAnsi="Arial" w:cs="Arial"/>
          <w:color w:val="000000"/>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2389A3CA" w14:textId="77777777" w:rsidR="0049516A" w:rsidRPr="006F7F9C" w:rsidRDefault="0049516A" w:rsidP="0049516A">
      <w:pPr>
        <w:pStyle w:val="Nadpis10"/>
        <w:jc w:val="both"/>
        <w:rPr>
          <w:sz w:val="24"/>
          <w:szCs w:val="24"/>
          <w:lang w:val="cs-CZ"/>
        </w:rPr>
      </w:pPr>
      <w:r w:rsidRPr="006F7F9C">
        <w:rPr>
          <w:sz w:val="24"/>
          <w:szCs w:val="24"/>
          <w:lang w:val="cs-CZ"/>
        </w:rPr>
        <w:t>Účel příspěvku</w:t>
      </w:r>
    </w:p>
    <w:p w14:paraId="725D327A" w14:textId="77777777" w:rsidR="0049516A" w:rsidRPr="006F7F9C" w:rsidRDefault="0049516A" w:rsidP="0049516A">
      <w:pPr>
        <w:rPr>
          <w:lang w:val="cs-CZ"/>
        </w:rPr>
      </w:pPr>
    </w:p>
    <w:p w14:paraId="7C667810" w14:textId="77777777" w:rsidR="0049516A" w:rsidRPr="006F7F9C" w:rsidRDefault="0049516A" w:rsidP="0049516A">
      <w:pPr>
        <w:ind w:left="360"/>
        <w:jc w:val="both"/>
        <w:rPr>
          <w:rFonts w:ascii="Arial" w:hAnsi="Arial" w:cs="Arial"/>
          <w:color w:val="000000"/>
          <w:lang w:val="cs-CZ"/>
        </w:rPr>
      </w:pPr>
      <w:r w:rsidRPr="006F7F9C">
        <w:rPr>
          <w:rFonts w:ascii="Arial" w:hAnsi="Arial" w:cs="Arial"/>
          <w:lang w:val="cs-CZ"/>
        </w:rPr>
        <w:t xml:space="preserve">Účelem příspěvku je vyjasnění některých praktických otázek souvisejících s odvodem z elektřiny ze slunečního záření podle zákona č. 165/2012 Sb., o podporovaných </w:t>
      </w:r>
      <w:r w:rsidRPr="006F7F9C">
        <w:rPr>
          <w:rFonts w:ascii="Arial" w:hAnsi="Arial" w:cs="Arial"/>
          <w:color w:val="000000"/>
          <w:lang w:val="cs-CZ"/>
        </w:rPr>
        <w:t>zdrojích energie a o změně některých zákonů (dále jen „zákon o podporovaných zdrojích energie“). Nejasnosti se týkají zejména následujících oblastí:</w:t>
      </w:r>
    </w:p>
    <w:p w14:paraId="021906DC" w14:textId="77777777" w:rsidR="0049516A" w:rsidRPr="006F7F9C" w:rsidRDefault="0049516A" w:rsidP="0049516A">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color w:val="000000"/>
          <w:sz w:val="24"/>
          <w:szCs w:val="24"/>
          <w:lang w:val="cs-CZ"/>
        </w:rPr>
        <w:t>definice odvodového období a počátku běhu lhůty pro stanovení daně,</w:t>
      </w:r>
    </w:p>
    <w:p w14:paraId="1528E1F1" w14:textId="77777777" w:rsidR="0049516A" w:rsidRPr="006F7F9C" w:rsidRDefault="0049516A" w:rsidP="0049516A">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postup při opravě odvodu z důvodu dodatečné opravy dat výrobcem a v situaci, kdy o vrácení nebo výplatě zeleného bonusu rozhodl soud,</w:t>
      </w:r>
    </w:p>
    <w:p w14:paraId="5C70A0FC" w14:textId="77777777" w:rsidR="0049516A" w:rsidRPr="006F7F9C" w:rsidRDefault="0049516A" w:rsidP="0049516A">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praktické vykázání odvodu vztahujícího se k elektřině vyrobené ve starších obdobích.  </w:t>
      </w:r>
    </w:p>
    <w:p w14:paraId="67DCCA7F" w14:textId="77777777" w:rsidR="0049516A" w:rsidRPr="006F7F9C" w:rsidRDefault="0049516A" w:rsidP="0049516A">
      <w:pPr>
        <w:pStyle w:val="Nadpis10"/>
        <w:jc w:val="both"/>
        <w:rPr>
          <w:sz w:val="24"/>
          <w:szCs w:val="24"/>
          <w:lang w:val="cs-CZ"/>
        </w:rPr>
      </w:pPr>
      <w:r w:rsidRPr="006F7F9C">
        <w:rPr>
          <w:sz w:val="24"/>
          <w:szCs w:val="24"/>
          <w:lang w:val="cs-CZ"/>
        </w:rPr>
        <w:t>Východiska</w:t>
      </w:r>
    </w:p>
    <w:p w14:paraId="1C515A02" w14:textId="77777777" w:rsidR="0049516A" w:rsidRPr="006F7F9C" w:rsidRDefault="0049516A" w:rsidP="0049516A">
      <w:pPr>
        <w:rPr>
          <w:lang w:val="cs-CZ"/>
        </w:rPr>
      </w:pPr>
    </w:p>
    <w:p w14:paraId="77F6B978"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Odvod z elektřiny ze slunečního záření upravuje zákon č. 165/2012 Sb. o podporovaných zdrojích energie a o změně některých zákonů (dále jen „zákon o podporovaných zdrojích energie). Předmětem odvodu za elektřinu ze slunečního záření (dále jen „odvod“) je elektřina vyrobená ze slunečního záření v období od 1. ledna 2022 po dobu trvání práva na podporu elektřiny v zařízení uvedeném do provozu v období od 1. ledna 2009 do 31. prosince 2010. Povinnost odvádět odvod z elektřiny vyrobené v obdobích před 1. lednem 2022 (konkrétně od 1. ledna 2013) upravují předchozí platné verze zákona o podporovaných zdrojích energie. Podle § 15 zákona o podporovaných zdrojích energie je poplatníkem odvodu výrobce, pokud vyrábí elektřinu ze slunečního záření. Plátcem odvodu je v případě hrazení formou zeleného bonusu na elektřinu operátor trhu a v případě hrazení formou výkupní ceny povinně vykupující. Tento příspěvek se zaměřuje na posouzení odvodu pouze v případě hrazení formou zeleného bonusu (nikoliv výkupní ceny). </w:t>
      </w:r>
    </w:p>
    <w:p w14:paraId="4F361A04" w14:textId="77777777" w:rsidR="0049516A" w:rsidRPr="006F7F9C" w:rsidRDefault="0049516A" w:rsidP="0049516A">
      <w:pPr>
        <w:ind w:left="360"/>
        <w:jc w:val="both"/>
        <w:rPr>
          <w:rFonts w:ascii="Arial" w:hAnsi="Arial" w:cs="Arial"/>
          <w:lang w:val="cs-CZ"/>
        </w:rPr>
      </w:pPr>
    </w:p>
    <w:p w14:paraId="6990FB2B"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Základem odvodu je podle § 16 částka bez daně z přidané hodnoty hrazená plátcem odvodu formou zeleného bonusu na elektřinu poplatníkovi odvodu za elektřinu ze slunečního záření vyrobenou v odvodovém období. </w:t>
      </w:r>
    </w:p>
    <w:p w14:paraId="7A009A27" w14:textId="77777777" w:rsidR="0049516A" w:rsidRPr="006F7F9C" w:rsidRDefault="0049516A" w:rsidP="0049516A">
      <w:pPr>
        <w:ind w:left="360"/>
        <w:jc w:val="both"/>
        <w:rPr>
          <w:rFonts w:ascii="Arial" w:hAnsi="Arial" w:cs="Arial"/>
          <w:lang w:val="cs-CZ"/>
        </w:rPr>
      </w:pPr>
    </w:p>
    <w:p w14:paraId="0426BBD7"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Odvodovým obdobím je podle § 19 kalendářní měsíc. Zákon o podporovaných zdrojích energie kromě definice v § 19 odvodové období blíže nespecifikuje. Konkrétnější interpretace je k dispozici například v informaci GFŘ k aplikaci ustanovení Čl. I bodu 2 a Čl. II bodu 2 zákona č. 402/2010 Sb. o podpoře výroby elektřiny z obnovitelných zdrojů energie, ve znění pozdějších předpisů. Podle této informace je plátce povinen odvod ze základu odvodu provést do 25 dnů po skončení odvodového období (tj. kalendářního měsíce), ve kterém v souladu s </w:t>
      </w:r>
      <w:r w:rsidRPr="006F7F9C">
        <w:rPr>
          <w:rFonts w:ascii="Arial" w:hAnsi="Arial" w:cs="Arial"/>
          <w:lang w:val="cs-CZ"/>
        </w:rPr>
        <w:lastRenderedPageBreak/>
        <w:t xml:space="preserve">platnými účetními předpisy o základu odvodu účtoval. Jedná se ovšem o informaci, která se vztahuje k zákonu č. 420/2010 Sb., který již není platný a který předcházel aktuálnímu zákonu o podporovaných zdrojích energie. </w:t>
      </w:r>
    </w:p>
    <w:p w14:paraId="5D00C959"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Sazby odvodu se liší podle období, ve kterém bylo zařízení pro výrobu elektřiny uvedeno do provozu. Sazba odvodu ze základu odvodu činí v případě výroby elektřiny v zařízení uvedeném do provozu v období od 1. ledna 2009 do 31. prosince 2009 v případě hrazení formou zeleného bonusu na elektřinu 11 %. Pokud byla elektřina vyrobena na zařízení uvedeném do provozu v období od 1. ledna 2010 do 31. prosince 2010, je sazba odvodu v případě hrazení formou zeleného bonusu na elektřinu 21 %. Tyto sazby jsou platné pro elektřinu vyrobenou ze slunečního záření v období od 1. ledna 2022 po dobu trvání práva na podporu elektřiny </w:t>
      </w:r>
      <w:r w:rsidRPr="006F7F9C">
        <w:rPr>
          <w:rFonts w:ascii="Arial" w:hAnsi="Arial" w:cs="Arial"/>
          <w:color w:val="000000"/>
          <w:shd w:val="clear" w:color="auto" w:fill="FFFFFF"/>
          <w:lang w:val="cs-CZ"/>
        </w:rPr>
        <w:t xml:space="preserve">v zařízení uvedeném do provozu v období od 1. ledna 2009 do 31. prosince 2010. Sazby odvodu platné pro elektřinu vyrobenou v obdobích před 1. lednem 2022 jsou upraveny v předchozích zněních zákona o podporovaných zdrojích energie. </w:t>
      </w:r>
    </w:p>
    <w:p w14:paraId="0239358D" w14:textId="77777777" w:rsidR="0049516A" w:rsidRPr="006F7F9C" w:rsidRDefault="0049516A" w:rsidP="0049516A">
      <w:pPr>
        <w:pStyle w:val="Nadpis10"/>
        <w:jc w:val="both"/>
        <w:rPr>
          <w:sz w:val="24"/>
          <w:szCs w:val="24"/>
          <w:lang w:val="cs-CZ"/>
        </w:rPr>
      </w:pPr>
      <w:r w:rsidRPr="006F7F9C">
        <w:rPr>
          <w:sz w:val="24"/>
          <w:szCs w:val="24"/>
          <w:lang w:val="cs-CZ"/>
        </w:rPr>
        <w:t>Analýza a návrh řešení</w:t>
      </w:r>
    </w:p>
    <w:p w14:paraId="67C80A02" w14:textId="77777777" w:rsidR="0049516A" w:rsidRPr="006F7F9C" w:rsidRDefault="0049516A" w:rsidP="0049516A">
      <w:pPr>
        <w:rPr>
          <w:lang w:val="cs-CZ"/>
        </w:rPr>
      </w:pPr>
    </w:p>
    <w:p w14:paraId="0034D9E1" w14:textId="77777777" w:rsidR="0049516A" w:rsidRPr="006F7F9C" w:rsidRDefault="0049516A" w:rsidP="0049516A">
      <w:pPr>
        <w:pStyle w:val="Nadpis20"/>
        <w:keepLines/>
        <w:numPr>
          <w:ilvl w:val="0"/>
          <w:numId w:val="33"/>
        </w:numPr>
        <w:tabs>
          <w:tab w:val="num" w:pos="360"/>
          <w:tab w:val="num" w:pos="720"/>
        </w:tabs>
        <w:spacing w:before="40" w:after="200" w:line="259" w:lineRule="auto"/>
        <w:ind w:left="0" w:firstLine="0"/>
        <w:jc w:val="both"/>
        <w:rPr>
          <w:sz w:val="24"/>
          <w:szCs w:val="24"/>
          <w:lang w:val="cs-CZ"/>
        </w:rPr>
      </w:pPr>
      <w:r w:rsidRPr="006F7F9C">
        <w:rPr>
          <w:sz w:val="24"/>
          <w:szCs w:val="24"/>
          <w:lang w:val="cs-CZ"/>
        </w:rPr>
        <w:t>Odvodové období a počátek běhu lhůty pro stanovení daně</w:t>
      </w:r>
    </w:p>
    <w:p w14:paraId="06974D7B" w14:textId="77777777" w:rsidR="0049516A" w:rsidRPr="006F7F9C" w:rsidRDefault="0049516A" w:rsidP="0049516A">
      <w:pPr>
        <w:ind w:left="360"/>
        <w:jc w:val="both"/>
        <w:rPr>
          <w:rFonts w:ascii="Arial" w:hAnsi="Arial" w:cs="Arial"/>
          <w:lang w:val="cs-CZ"/>
        </w:rPr>
      </w:pPr>
      <w:r w:rsidRPr="006F7F9C">
        <w:rPr>
          <w:rFonts w:ascii="Arial" w:hAnsi="Arial" w:cs="Arial"/>
          <w:lang w:val="cs-CZ"/>
        </w:rPr>
        <w:t>Pokud budeme vycházet z doslovného znění zákona o podporovaných zdrojích energie, odvodovým obdobím je kalendářní měsíc, ve kterém byla elektřina ze slunečního záření vyrobena. V tomto případě by plátce odvodu měl vyúčtování odvodu podávat podle období, ve kterém byla elektřina vyrobena. V případě, že by výrobce elektřiny poskytl informace o výrobě elektřiny se zpožděním, měl by plátce odvodu podat dodatečné vyúčtování odvodu za období, kdy byla elektřina vyrobena s použitím sazby platné pro období výroby. Na druhou stranu výklad GFŘ zohledňuje okamžik zaúčtování a z praktického pohledu za odvodové období považuje období, ve kterém plátce o základu odvodu účtoval (tj. v období, kdy se o něm dozvěděl). Odvodové období tedy není navázáno na období výroby energie, ale na okamžik zachycení v účetnictví.</w:t>
      </w:r>
    </w:p>
    <w:p w14:paraId="758418C3" w14:textId="77777777" w:rsidR="0049516A" w:rsidRPr="006F7F9C" w:rsidRDefault="0049516A" w:rsidP="0049516A">
      <w:pPr>
        <w:ind w:left="360"/>
        <w:jc w:val="both"/>
        <w:rPr>
          <w:rFonts w:ascii="Arial" w:hAnsi="Arial" w:cs="Arial"/>
          <w:lang w:val="cs-CZ"/>
        </w:rPr>
      </w:pPr>
    </w:p>
    <w:p w14:paraId="67B6D813"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Na správné určení počátku odvodového období je navázána také lhůta pro stanovení daně. Podle § 148 zákona č. 280/2009 Sb., daňový řád (dále jen „daňový řád“), daň nelze stanovit po uplynutí lhůty pro stanovení daně, která činí 3 roky. Lhůta pro stanovení daně počne běžet dnem, v němž uplynula lhůta pro podání řádného daňového tvrzení. </w:t>
      </w:r>
      <w:r w:rsidRPr="00882DF4">
        <w:rPr>
          <w:rFonts w:ascii="Arial" w:hAnsi="Arial" w:cs="Arial"/>
          <w:lang w:val="cs-CZ"/>
        </w:rPr>
        <w:t>Pokud za odvodové období považujeme kalendářní měsíc výroby elektřiny,</w:t>
      </w:r>
      <w:r w:rsidRPr="006F7F9C">
        <w:rPr>
          <w:rFonts w:ascii="Arial" w:hAnsi="Arial" w:cs="Arial"/>
          <w:lang w:val="cs-CZ"/>
        </w:rPr>
        <w:t xml:space="preserve"> lhůta pro stanovení daně (resp. odvodu) počíná běžet od 25. dne měsíce následujícího po měsíci, kdy byla elektřina vyrobena. Pokud bychom za odvodové období považovali měsíc, kdy plátce odvodu o základu odvodu účtoval, lhůta pro stanovení daně počíná běžet od 25. dne měsíce následujícího po měsíci zaúčtování. V tomto případě by tedy bylo možné odvést odvod i z elektřiny, která byla vyrobena před více než 3 lety, pokud základ odvodu související s touto elektřinou byl v souladu s účetními předpisy zaúčtován až později. </w:t>
      </w:r>
    </w:p>
    <w:p w14:paraId="6C8C45DD" w14:textId="77777777" w:rsidR="0049516A" w:rsidRPr="006F7F9C" w:rsidRDefault="0049516A" w:rsidP="0049516A">
      <w:pPr>
        <w:ind w:left="360"/>
        <w:jc w:val="both"/>
        <w:rPr>
          <w:rFonts w:ascii="Arial" w:hAnsi="Arial" w:cs="Arial"/>
          <w:lang w:val="cs-CZ"/>
        </w:rPr>
      </w:pPr>
    </w:p>
    <w:p w14:paraId="5C611DE1"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Definici odvodového období jako období zaúčtování odvodu podporují dle našeho názoru také pokyny k vyúčtování odvodu z elektřiny ze slunečního záření, které odkazují na ustanovení daňového řádu o dani vybírané srážkou (§ 233 a násl. daňového řádu). Výběr odvodu by se tedy měl řídit pravidly pro daň vybíranou </w:t>
      </w:r>
      <w:r w:rsidRPr="006F7F9C">
        <w:rPr>
          <w:rFonts w:ascii="Arial" w:hAnsi="Arial" w:cs="Arial"/>
          <w:lang w:val="cs-CZ"/>
        </w:rPr>
        <w:lastRenderedPageBreak/>
        <w:t xml:space="preserve">srážkou. Srážkovou daň dále blíže upravuje zákon č. 586/1992 Sb. o daních z příjmů (dále jen „zákon o daních z příjmů). Podle § 38d odst. 1 zákona o daních z příjmů je plátce daně povinen srážku daně provést při výplatě, poukázání nebo připsání úhrady ve prospěch poplatníka a ve specifických případech nejpozději v den, kdy se o dluhu účtuje v souladu se zvláštním právním předpisem. Na základě analogické interpretace by se tak za odvodové období považoval kalendářní měsíc, ve kterém plátce odvodu o základu odvodu účtoval. Stejně tak lhůta pro stanovení daně by se odvíjela od měsíce, ve kterém došlo k zaúčtování, nikoliv od měsíce, ve kterém byla elektřina vyrobena. </w:t>
      </w:r>
    </w:p>
    <w:p w14:paraId="14C41E7A" w14:textId="77777777" w:rsidR="0049516A" w:rsidRDefault="0049516A" w:rsidP="0049516A">
      <w:pPr>
        <w:ind w:left="360"/>
        <w:jc w:val="both"/>
        <w:rPr>
          <w:rFonts w:ascii="Arial" w:hAnsi="Arial" w:cs="Arial"/>
          <w:lang w:val="cs-CZ"/>
        </w:rPr>
      </w:pPr>
    </w:p>
    <w:p w14:paraId="42D1EAB6" w14:textId="77777777" w:rsidR="0049516A" w:rsidRPr="006F7F9C" w:rsidRDefault="0049516A" w:rsidP="0049516A">
      <w:pPr>
        <w:ind w:left="360"/>
        <w:jc w:val="both"/>
        <w:rPr>
          <w:rFonts w:ascii="Arial" w:hAnsi="Arial" w:cs="Arial"/>
          <w:lang w:val="cs-CZ"/>
        </w:rPr>
      </w:pPr>
    </w:p>
    <w:p w14:paraId="0A263165" w14:textId="77777777" w:rsidR="0049516A" w:rsidRPr="006F7F9C" w:rsidRDefault="0049516A" w:rsidP="0049516A">
      <w:pPr>
        <w:pStyle w:val="Nadpis30"/>
        <w:keepLines/>
        <w:numPr>
          <w:ilvl w:val="1"/>
          <w:numId w:val="33"/>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7641AB08" w14:textId="77777777" w:rsidR="0049516A" w:rsidRDefault="0049516A" w:rsidP="0049516A">
      <w:pPr>
        <w:ind w:left="360"/>
        <w:jc w:val="both"/>
        <w:rPr>
          <w:rFonts w:ascii="Arial" w:hAnsi="Arial" w:cs="Arial"/>
          <w:lang w:val="cs-CZ"/>
        </w:rPr>
      </w:pPr>
      <w:r w:rsidRPr="006F7F9C">
        <w:rPr>
          <w:rFonts w:ascii="Arial" w:hAnsi="Arial" w:cs="Arial"/>
          <w:lang w:val="cs-CZ"/>
        </w:rPr>
        <w:t xml:space="preserve">Navrhujeme § 19 zákona o podporovaných zdrojích energie vykládat v tom smyslu, že odvodovým obdobím se rozumí kalendářní měsíc, ve kterém plátce odvodu o </w:t>
      </w:r>
      <w:r w:rsidRPr="004B6A38">
        <w:rPr>
          <w:rFonts w:ascii="Arial" w:hAnsi="Arial" w:cs="Arial"/>
          <w:lang w:val="cs-CZ"/>
        </w:rPr>
        <w:t>základu odvodu účtoval v souladu s platnými účetními předpisy. Lhůta pro stanovení daně</w:t>
      </w:r>
      <w:r w:rsidRPr="006F7F9C">
        <w:rPr>
          <w:rFonts w:ascii="Arial" w:hAnsi="Arial" w:cs="Arial"/>
          <w:lang w:val="cs-CZ"/>
        </w:rPr>
        <w:t xml:space="preserve"> podle § 148 daňového řádu pak počíná běžet od 25. dne měsíce následujícího po konci odvodového období. </w:t>
      </w:r>
    </w:p>
    <w:p w14:paraId="504B4CB7" w14:textId="77777777" w:rsidR="0049516A" w:rsidRDefault="0049516A" w:rsidP="0049516A">
      <w:pPr>
        <w:ind w:left="360"/>
        <w:jc w:val="both"/>
        <w:rPr>
          <w:rFonts w:ascii="Arial" w:hAnsi="Arial" w:cs="Arial"/>
          <w:lang w:val="cs-CZ"/>
        </w:rPr>
      </w:pPr>
    </w:p>
    <w:p w14:paraId="73CAD73A" w14:textId="77777777" w:rsidR="0049516A" w:rsidRDefault="0049516A" w:rsidP="0049516A">
      <w:pPr>
        <w:ind w:left="360"/>
        <w:jc w:val="both"/>
        <w:rPr>
          <w:rFonts w:ascii="Arial" w:hAnsi="Arial" w:cs="Arial"/>
          <w:lang w:val="cs-CZ"/>
        </w:rPr>
      </w:pPr>
    </w:p>
    <w:p w14:paraId="47AFC89A" w14:textId="77777777" w:rsidR="0049516A" w:rsidRPr="006F7F9C" w:rsidRDefault="0049516A" w:rsidP="0049516A">
      <w:pPr>
        <w:pStyle w:val="Nadpis30"/>
        <w:keepLines/>
        <w:numPr>
          <w:ilvl w:val="0"/>
          <w:numId w:val="33"/>
        </w:numPr>
        <w:tabs>
          <w:tab w:val="num" w:pos="360"/>
          <w:tab w:val="num" w:pos="72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Postup v případě opravy odvodu z důvodu dodatečné opravy dat výrobcem</w:t>
      </w:r>
    </w:p>
    <w:p w14:paraId="3DAF9197"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V případě, že výrobce elektřiny obdržel zelený bonus neoprávněně nebo v nesprávné výši, a sdělí tuto skutečnost operátorovi trhu (plátci odvodu), výrobce elektřiny zelený bonus vrací. Plátce odvodu pak na základě těchto informací zaúčtuje snížení vyplaceného zeleného bonusu a zároveň může požádat o vrácení odvodu. Pokud byl zelený bonus původně zachycen v účetnictví v období starší než 3 roky, lhůta pro stanovení daně již uplynula (v návaznosti na určení odvodového období podle analýzy výše). Plátce odvodu by tak neměl možnost požádat o vrácení odvodu vztahujícího se k vrácenému zelenému bonusu, pokud o výplatě zeleného bonusu účtoval dříve než před 3 lety. </w:t>
      </w:r>
    </w:p>
    <w:p w14:paraId="137118F0" w14:textId="77777777" w:rsidR="0049516A" w:rsidRDefault="0049516A" w:rsidP="0049516A">
      <w:pPr>
        <w:ind w:left="360"/>
        <w:jc w:val="both"/>
        <w:rPr>
          <w:rFonts w:ascii="Arial" w:hAnsi="Arial" w:cs="Arial"/>
          <w:lang w:val="cs-CZ"/>
        </w:rPr>
      </w:pPr>
    </w:p>
    <w:p w14:paraId="74D662CF" w14:textId="77777777" w:rsidR="0049516A" w:rsidRPr="006F7F9C" w:rsidRDefault="0049516A" w:rsidP="0049516A">
      <w:pPr>
        <w:ind w:left="360"/>
        <w:jc w:val="both"/>
        <w:rPr>
          <w:rFonts w:ascii="Arial" w:hAnsi="Arial" w:cs="Arial"/>
          <w:lang w:val="cs-CZ"/>
        </w:rPr>
      </w:pPr>
    </w:p>
    <w:p w14:paraId="5F99A52B" w14:textId="77777777" w:rsidR="0049516A" w:rsidRPr="006F7F9C" w:rsidRDefault="0049516A" w:rsidP="0049516A">
      <w:pPr>
        <w:pStyle w:val="Nadpis30"/>
        <w:keepLines/>
        <w:numPr>
          <w:ilvl w:val="1"/>
          <w:numId w:val="33"/>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24625A22" w14:textId="77777777" w:rsidR="0049516A" w:rsidRDefault="0049516A" w:rsidP="0049516A">
      <w:pPr>
        <w:ind w:left="360"/>
        <w:jc w:val="both"/>
        <w:rPr>
          <w:rFonts w:ascii="Arial" w:hAnsi="Arial" w:cs="Arial"/>
          <w:lang w:val="cs-CZ"/>
        </w:rPr>
      </w:pPr>
      <w:r w:rsidRPr="006F7F9C">
        <w:rPr>
          <w:rFonts w:ascii="Arial" w:hAnsi="Arial" w:cs="Arial"/>
          <w:lang w:val="cs-CZ"/>
        </w:rPr>
        <w:t>Lhůta pro stanovení daně počíná běžet od 25. dne měsíce následujícího po konci odvodového období. Za odvodové období je považován kalendářní měsíc</w:t>
      </w:r>
      <w:r w:rsidRPr="00955CF7">
        <w:rPr>
          <w:rFonts w:ascii="Arial" w:hAnsi="Arial" w:cs="Arial"/>
          <w:lang w:val="cs-CZ"/>
        </w:rPr>
        <w:t>, kdy plátce odvodu účtoval v souladu s účetními předpisy o poskytnutí zeleného bonusu. Pokud v období po uplynutí lhůty došlo k vrácení zeleného bonusu, o kterém plátce odvodu účtoval, již není možné požádat o vrácení odvodu, neboť lhůta pro stanovení daně již uplynula. Zaúčtování vrácení zeleného bonusu neovlivní běh lhůty pro stanovení daně.</w:t>
      </w:r>
    </w:p>
    <w:p w14:paraId="6C289953" w14:textId="77777777" w:rsidR="0049516A" w:rsidRDefault="0049516A" w:rsidP="0049516A">
      <w:pPr>
        <w:jc w:val="both"/>
        <w:rPr>
          <w:rFonts w:ascii="Arial" w:hAnsi="Arial" w:cs="Arial"/>
          <w:i/>
          <w:iCs/>
          <w:lang w:val="cs-CZ"/>
        </w:rPr>
      </w:pPr>
    </w:p>
    <w:p w14:paraId="6C8EF039" w14:textId="77777777" w:rsidR="0049516A" w:rsidRDefault="0049516A" w:rsidP="0049516A">
      <w:pPr>
        <w:jc w:val="both"/>
        <w:rPr>
          <w:rFonts w:ascii="Arial" w:hAnsi="Arial" w:cs="Arial"/>
          <w:i/>
          <w:iCs/>
          <w:lang w:val="cs-CZ"/>
        </w:rPr>
      </w:pPr>
    </w:p>
    <w:p w14:paraId="42A2AA47" w14:textId="77777777" w:rsidR="0049516A" w:rsidRPr="006F7F9C" w:rsidRDefault="0049516A" w:rsidP="0049516A">
      <w:pPr>
        <w:pStyle w:val="Nadpis20"/>
        <w:keepLines/>
        <w:numPr>
          <w:ilvl w:val="0"/>
          <w:numId w:val="33"/>
        </w:numPr>
        <w:tabs>
          <w:tab w:val="num" w:pos="360"/>
          <w:tab w:val="num" w:pos="720"/>
        </w:tabs>
        <w:spacing w:before="40" w:after="200" w:line="259" w:lineRule="auto"/>
        <w:ind w:left="0" w:firstLine="0"/>
        <w:jc w:val="both"/>
        <w:rPr>
          <w:sz w:val="24"/>
          <w:szCs w:val="24"/>
          <w:lang w:val="cs-CZ"/>
        </w:rPr>
      </w:pPr>
      <w:r w:rsidRPr="006F7F9C">
        <w:rPr>
          <w:sz w:val="24"/>
          <w:szCs w:val="24"/>
          <w:lang w:val="cs-CZ"/>
        </w:rPr>
        <w:t>Postup v případě opravy odvodu v návaznosti na rozhodnutí soudu</w:t>
      </w:r>
    </w:p>
    <w:p w14:paraId="756B2B19" w14:textId="77777777" w:rsidR="0049516A" w:rsidRPr="006F7F9C" w:rsidRDefault="0049516A" w:rsidP="0049516A">
      <w:pPr>
        <w:ind w:left="360"/>
        <w:jc w:val="both"/>
        <w:rPr>
          <w:rFonts w:ascii="Arial" w:hAnsi="Arial" w:cs="Arial"/>
          <w:lang w:val="cs-CZ"/>
        </w:rPr>
      </w:pPr>
      <w:r w:rsidRPr="006F7F9C">
        <w:rPr>
          <w:rFonts w:ascii="Arial" w:hAnsi="Arial" w:cs="Arial"/>
          <w:lang w:val="cs-CZ"/>
        </w:rPr>
        <w:t xml:space="preserve">V některých případech je výrobce elektřiny povinen vrátit zelený bonus, případně má možnost uplatnit nárok na zelený bonus, na základě rozhodnutí soudu, Energetického regulačního úřadu (“ERÚ“) nebo Státní energetické inspekce </w:t>
      </w:r>
      <w:r w:rsidRPr="006F7F9C">
        <w:rPr>
          <w:rFonts w:ascii="Arial" w:hAnsi="Arial" w:cs="Arial"/>
          <w:lang w:val="cs-CZ"/>
        </w:rPr>
        <w:lastRenderedPageBreak/>
        <w:t>(„SEI“). Soud/ERÚ/SEI může rozhodnout o povinnosti opravy i za období starší než 3 roky. Zde mohou nastat dvě situace.</w:t>
      </w:r>
    </w:p>
    <w:p w14:paraId="2B615EF6" w14:textId="77777777" w:rsidR="0049516A" w:rsidRPr="006F7F9C" w:rsidRDefault="0049516A" w:rsidP="0049516A">
      <w:pPr>
        <w:ind w:left="360"/>
        <w:jc w:val="both"/>
        <w:rPr>
          <w:rFonts w:ascii="Arial" w:hAnsi="Arial" w:cs="Arial"/>
          <w:lang w:val="cs-CZ"/>
        </w:rPr>
      </w:pPr>
    </w:p>
    <w:p w14:paraId="5184C707" w14:textId="77777777" w:rsidR="0049516A" w:rsidRPr="006F7F9C" w:rsidRDefault="0049516A" w:rsidP="0049516A">
      <w:pPr>
        <w:pStyle w:val="Odstavecseseznamem"/>
        <w:numPr>
          <w:ilvl w:val="0"/>
          <w:numId w:val="34"/>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Plátce odvodu o výplatě zeleného bonusu původně vůbec neúčtoval, jelikož neměl od výrobce elektřiny potřebné údaje. O zeleném bonusu následně účtuje až v návaznosti na rozhodnutí soudu/ERÚ/SEI a poskytnutí údajů od výrobce elektřiny. Odvodovým obdobím v tomto případě by mělo být aktuální období, ve kterém o základu odvodu plátce účtoval na základě rozhodnutí soudu/ERÚ/SEI. Lhůta pro stanovení daně tak začíná běžet od 25. dne následujícího měsíce po konci odvodového období. V tomto případě se domníváme, že je možné odvod uhradit i v případě, že elektřina byla vyrobena v období starším než 3 roky.  </w:t>
      </w:r>
      <w:r w:rsidRPr="006F7F9C">
        <w:rPr>
          <w:rFonts w:ascii="Arial" w:hAnsi="Arial" w:cs="Arial"/>
          <w:sz w:val="24"/>
          <w:szCs w:val="24"/>
          <w:lang w:val="cs-CZ"/>
        </w:rPr>
        <w:br/>
      </w:r>
    </w:p>
    <w:p w14:paraId="6DD43234" w14:textId="77777777" w:rsidR="0049516A" w:rsidRDefault="0049516A" w:rsidP="0049516A">
      <w:pPr>
        <w:pStyle w:val="Odstavecseseznamem"/>
        <w:numPr>
          <w:ilvl w:val="0"/>
          <w:numId w:val="34"/>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Plátce odvodu o výplatě zeleného bonusu a odvodu účtoval již před vydáním rozhodnutí soudu/ERÚ/SEI v okamžiku, kdy mu výrobce elektřiny poskytl nezbytné údaje. Soud/ERÚ/SEI následně rozhodl, že má dojít k vrácení zeleného bonusu nebo dodatečné úhradě zeleného bonusu (s čímž se pojí také vrácení či úhrada odvodu). Pokud plátce odvodu účtoval o úhradě zeleného bonusu a odvodu v období starším než 3 roky, domníváme se, že lhůta pro stanovení daně již uplynula, tudíž není možné dodatečně žádat o vrácení odvodu, ačkoliv soud/ERÚ/SEI rozhodl o povinnosti vrátit zelený bonus, případně dodatečně odvod uhradit, pokud soud/ERÚ/SEI rozhodl o výplatě zeleného bonusu.</w:t>
      </w:r>
    </w:p>
    <w:p w14:paraId="0096ECDB" w14:textId="77777777" w:rsidR="0049516A" w:rsidRDefault="0049516A" w:rsidP="0049516A">
      <w:pPr>
        <w:pStyle w:val="Odstavecseseznamem"/>
        <w:spacing w:after="160" w:line="259" w:lineRule="auto"/>
        <w:contextualSpacing/>
        <w:jc w:val="both"/>
        <w:rPr>
          <w:rFonts w:ascii="Arial" w:hAnsi="Arial" w:cs="Arial"/>
          <w:sz w:val="24"/>
          <w:szCs w:val="24"/>
          <w:lang w:val="cs-CZ"/>
        </w:rPr>
      </w:pPr>
    </w:p>
    <w:p w14:paraId="390939B1" w14:textId="77777777" w:rsidR="0049516A" w:rsidRPr="006F7F9C" w:rsidRDefault="0049516A" w:rsidP="0049516A">
      <w:pPr>
        <w:pStyle w:val="Nadpis30"/>
        <w:keepLines/>
        <w:numPr>
          <w:ilvl w:val="1"/>
          <w:numId w:val="33"/>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31F7149E" w14:textId="77777777" w:rsidR="0049516A" w:rsidRDefault="0049516A" w:rsidP="0049516A">
      <w:pPr>
        <w:ind w:left="708"/>
        <w:jc w:val="both"/>
        <w:rPr>
          <w:rFonts w:ascii="Arial" w:hAnsi="Arial" w:cs="Arial"/>
          <w:lang w:val="cs-CZ"/>
        </w:rPr>
      </w:pPr>
      <w:r w:rsidRPr="006F7F9C">
        <w:rPr>
          <w:rFonts w:ascii="Arial" w:hAnsi="Arial" w:cs="Arial"/>
          <w:lang w:val="cs-CZ"/>
        </w:rPr>
        <w:t xml:space="preserve">Rozhodnutí soudu/ERÚ/SEI o úhradě nebo vrácení zeleného bonusu samo o sobě nemá vliv na běh lhůty pro stanovení daně. Lhůta pro stanovení daně se nadále stanoví podle okamžiku, ve kterém v souladu s účetními předpisy plátce odvodu o základu odvodu účtoval. </w:t>
      </w:r>
    </w:p>
    <w:p w14:paraId="6EDEC41E" w14:textId="77777777" w:rsidR="0049516A" w:rsidRDefault="0049516A" w:rsidP="0049516A">
      <w:pPr>
        <w:ind w:left="708"/>
        <w:jc w:val="both"/>
        <w:rPr>
          <w:rFonts w:ascii="Arial" w:hAnsi="Arial" w:cs="Arial"/>
          <w:lang w:val="cs-CZ"/>
        </w:rPr>
      </w:pPr>
    </w:p>
    <w:p w14:paraId="7316A11D" w14:textId="77777777" w:rsidR="0049516A" w:rsidRPr="006F7F9C" w:rsidRDefault="0049516A" w:rsidP="0049516A">
      <w:pPr>
        <w:ind w:left="708"/>
        <w:jc w:val="both"/>
        <w:rPr>
          <w:rFonts w:ascii="Arial" w:hAnsi="Arial" w:cs="Arial"/>
          <w:lang w:val="cs-CZ"/>
        </w:rPr>
      </w:pPr>
    </w:p>
    <w:p w14:paraId="462FDD3B" w14:textId="77777777" w:rsidR="0049516A" w:rsidRPr="006F7F9C" w:rsidRDefault="0049516A" w:rsidP="0049516A">
      <w:pPr>
        <w:pStyle w:val="Nadpis20"/>
        <w:keepLines/>
        <w:numPr>
          <w:ilvl w:val="0"/>
          <w:numId w:val="33"/>
        </w:numPr>
        <w:tabs>
          <w:tab w:val="num" w:pos="360"/>
          <w:tab w:val="num" w:pos="720"/>
        </w:tabs>
        <w:spacing w:before="40" w:after="200" w:line="259" w:lineRule="auto"/>
        <w:ind w:left="0" w:firstLine="0"/>
        <w:jc w:val="both"/>
        <w:rPr>
          <w:sz w:val="24"/>
          <w:szCs w:val="24"/>
          <w:lang w:val="cs-CZ"/>
        </w:rPr>
      </w:pPr>
      <w:r w:rsidRPr="006F7F9C">
        <w:rPr>
          <w:sz w:val="24"/>
          <w:szCs w:val="24"/>
          <w:lang w:val="cs-CZ"/>
        </w:rPr>
        <w:t>Praktické vykázání odvodu vztahujícího se k elektřině vyrobené ve starších obdobích</w:t>
      </w:r>
    </w:p>
    <w:p w14:paraId="3546F87A" w14:textId="77777777" w:rsidR="0049516A" w:rsidRPr="006F7F9C" w:rsidRDefault="0049516A" w:rsidP="0049516A">
      <w:pPr>
        <w:ind w:left="708"/>
        <w:jc w:val="both"/>
        <w:rPr>
          <w:rFonts w:ascii="Arial" w:hAnsi="Arial" w:cs="Arial"/>
          <w:lang w:val="cs-CZ"/>
        </w:rPr>
      </w:pPr>
      <w:r w:rsidRPr="006F7F9C">
        <w:rPr>
          <w:rFonts w:ascii="Arial" w:hAnsi="Arial" w:cs="Arial"/>
          <w:lang w:val="cs-CZ"/>
        </w:rPr>
        <w:t xml:space="preserve">Pokud výrobce elektřiny sdělí plátci odvodu údaje o výrobě elektřiny za několik starších období současně (např. současně za roky 2022 a 2021), plátce odvodu bude o zeleném bonusu vztahujícím se k těmto rokům účtovat ve stejném období (tj. v období, kdy mu výrobce elektřiny poskytl údaje). Podle zákona o podporovaných zdrojích energie je sazba odvodu platná pro elektřinu vyrobenou v roce 2021 i v roce 2022 shodná (11 %). V případě, že je sazba odvodu ve více obdobích shodná, domníváme se, že plátce odvodu může podat pouze jedno (aktuálně platné) vyúčtování za odvodové období, kterým je kalendářní měsíc zaúčtování zeleného bonusu. Pokud by se sazba odvodu za elektřinu v jednotlivých letech lišila, plátce odvodu by měl podat vyúčtování podle jednotlivých sazeb daně (tj. vyúčtování platné v roce, ve kterém byla elektřina vyrobena). </w:t>
      </w:r>
    </w:p>
    <w:p w14:paraId="7EB72434" w14:textId="77777777" w:rsidR="0049516A" w:rsidRPr="006F7F9C" w:rsidRDefault="0049516A" w:rsidP="0049516A">
      <w:pPr>
        <w:ind w:left="708"/>
        <w:jc w:val="both"/>
        <w:rPr>
          <w:rFonts w:ascii="Arial" w:hAnsi="Arial" w:cs="Arial"/>
          <w:lang w:val="cs-CZ"/>
        </w:rPr>
      </w:pPr>
    </w:p>
    <w:p w14:paraId="52F4CE75" w14:textId="77777777" w:rsidR="0049516A" w:rsidRPr="006F7F9C" w:rsidRDefault="0049516A" w:rsidP="0049516A">
      <w:pPr>
        <w:pStyle w:val="Nadpis30"/>
        <w:keepLines/>
        <w:numPr>
          <w:ilvl w:val="1"/>
          <w:numId w:val="33"/>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lastRenderedPageBreak/>
        <w:t>Návrh řešení</w:t>
      </w:r>
    </w:p>
    <w:p w14:paraId="14A14A2E" w14:textId="77777777" w:rsidR="0049516A" w:rsidRPr="00EA7C29" w:rsidRDefault="0049516A" w:rsidP="0049516A">
      <w:pPr>
        <w:ind w:left="708"/>
        <w:jc w:val="both"/>
        <w:rPr>
          <w:rFonts w:ascii="Arial" w:hAnsi="Arial" w:cs="Arial"/>
          <w:lang w:val="cs-CZ"/>
        </w:rPr>
      </w:pPr>
      <w:r w:rsidRPr="006F7F9C">
        <w:rPr>
          <w:rFonts w:ascii="Arial" w:hAnsi="Arial" w:cs="Arial"/>
          <w:lang w:val="cs-CZ"/>
        </w:rPr>
        <w:t>Plátce odvodu podává vyúčtování odvodu podle sazby odvodu platné v roce výroby elektřiny. Pokud podává vyúčtování odvodu za elektřinu vyrobenou v několika letech, ve kterých se uplatní stejná sazba odvodu, podává pouze jedno aktuálně platné vyúčtování. Pokud se sazba odvodu v jednotlivých letech liší, podává plátce odvodu vyúčtování platná v roce výroby elektřiny s uvedením sa</w:t>
      </w:r>
      <w:r>
        <w:rPr>
          <w:rFonts w:ascii="Arial" w:hAnsi="Arial" w:cs="Arial"/>
          <w:lang w:val="cs-CZ"/>
        </w:rPr>
        <w:t>zby odvodu platné v daném roce.</w:t>
      </w:r>
    </w:p>
    <w:p w14:paraId="0AA77ADD" w14:textId="77777777" w:rsidR="00754026" w:rsidRPr="00922624" w:rsidRDefault="00754026" w:rsidP="008030AA">
      <w:pPr>
        <w:jc w:val="both"/>
        <w:rPr>
          <w:rFonts w:ascii="Arial" w:hAnsi="Arial" w:cs="Arial"/>
          <w:b/>
          <w:color w:val="000000"/>
          <w:shd w:val="clear" w:color="auto" w:fill="FFFFFF"/>
          <w:lang w:val="cs-CZ"/>
        </w:rPr>
      </w:pPr>
      <w:r w:rsidRPr="00922624">
        <w:rPr>
          <w:rFonts w:ascii="Arial" w:hAnsi="Arial" w:cs="Arial"/>
          <w:b/>
          <w:color w:val="000000"/>
          <w:shd w:val="clear" w:color="auto" w:fill="FFFFFF"/>
          <w:lang w:val="cs-CZ"/>
        </w:rPr>
        <w:br w:type="page"/>
      </w:r>
    </w:p>
    <w:p w14:paraId="0999468D" w14:textId="77777777" w:rsidR="00CD6AF3" w:rsidRPr="006F298B" w:rsidRDefault="00CD6AF3" w:rsidP="00CD6AF3">
      <w:pPr>
        <w:rPr>
          <w:rFonts w:ascii="Arial" w:hAnsi="Arial" w:cs="Arial"/>
          <w:b/>
          <w:color w:val="000000"/>
          <w:shd w:val="clear" w:color="auto" w:fill="FFFFFF"/>
          <w:lang w:val="cs-CZ"/>
        </w:rPr>
      </w:pPr>
      <w:r w:rsidRPr="00BF25A1">
        <w:rPr>
          <w:rFonts w:ascii="Arial" w:hAnsi="Arial" w:cs="Arial"/>
          <w:b/>
          <w:sz w:val="32"/>
          <w:szCs w:val="32"/>
          <w:highlight w:val="yellow"/>
          <w:u w:val="single"/>
          <w:lang w:val="cs-CZ" w:eastAsia="cs-CZ"/>
        </w:rPr>
        <w:lastRenderedPageBreak/>
        <w:t xml:space="preserve">PŘÍSPĚVEK UZAVŘEN </w:t>
      </w:r>
      <w:r>
        <w:rPr>
          <w:rFonts w:ascii="Arial" w:hAnsi="Arial" w:cs="Arial"/>
          <w:b/>
          <w:sz w:val="32"/>
          <w:szCs w:val="32"/>
          <w:highlight w:val="yellow"/>
          <w:u w:val="single"/>
          <w:lang w:val="cs-CZ" w:eastAsia="cs-CZ"/>
        </w:rPr>
        <w:t>BEZ</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U</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28</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11</w:t>
      </w:r>
      <w:r w:rsidRPr="00A141BB">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A141BB">
        <w:rPr>
          <w:rFonts w:ascii="Arial" w:hAnsi="Arial" w:cs="Arial"/>
          <w:b/>
          <w:sz w:val="32"/>
          <w:szCs w:val="32"/>
          <w:highlight w:val="yellow"/>
          <w:u w:val="single"/>
          <w:lang w:val="cs-CZ" w:eastAsia="cs-CZ"/>
        </w:rPr>
        <w:t>2023</w:t>
      </w:r>
    </w:p>
    <w:p w14:paraId="52D2A594" w14:textId="7F28561E" w:rsidR="0030541A" w:rsidRPr="00F75323" w:rsidRDefault="00F75323" w:rsidP="00F75323">
      <w:pPr>
        <w:jc w:val="center"/>
        <w:rPr>
          <w:rFonts w:ascii="Arial" w:hAnsi="Arial" w:cs="Arial"/>
          <w:b/>
          <w:color w:val="000000"/>
          <w:u w:val="single"/>
          <w:shd w:val="clear" w:color="auto" w:fill="FFFFFF"/>
          <w:lang w:val="cs-CZ"/>
        </w:rPr>
      </w:pPr>
      <w:r w:rsidRPr="00F75323">
        <w:rPr>
          <w:rFonts w:ascii="Arial" w:hAnsi="Arial" w:cs="Arial"/>
          <w:b/>
          <w:color w:val="000000"/>
          <w:u w:val="single"/>
          <w:shd w:val="clear" w:color="auto" w:fill="FFFFFF"/>
          <w:lang w:val="cs-CZ"/>
        </w:rPr>
        <w:t>Daň z příjmů</w:t>
      </w:r>
    </w:p>
    <w:p w14:paraId="7626F05C" w14:textId="77777777" w:rsidR="0030541A" w:rsidRPr="00D37AE4" w:rsidRDefault="0030541A">
      <w:pPr>
        <w:rPr>
          <w:rFonts w:ascii="Arial" w:hAnsi="Arial" w:cs="Arial"/>
          <w:b/>
          <w:color w:val="000000"/>
          <w:u w:val="single"/>
          <w:shd w:val="clear" w:color="auto" w:fill="FFFFFF"/>
          <w:lang w:val="cs-CZ"/>
        </w:rPr>
      </w:pPr>
    </w:p>
    <w:p w14:paraId="4AA11FA4" w14:textId="77777777" w:rsidR="003D0B01" w:rsidRPr="00483455" w:rsidRDefault="003D0B01" w:rsidP="003D0B01">
      <w:pPr>
        <w:rPr>
          <w:rFonts w:ascii="Arial" w:hAnsi="Arial" w:cs="Arial"/>
          <w:b/>
          <w:color w:val="000000"/>
          <w:shd w:val="clear" w:color="auto" w:fill="FFFFFF"/>
          <w:lang w:val="cs-CZ"/>
        </w:rPr>
      </w:pPr>
      <w:r w:rsidRPr="00483455">
        <w:rPr>
          <w:rFonts w:ascii="Arial" w:hAnsi="Arial" w:cs="Arial"/>
          <w:b/>
          <w:color w:val="000000"/>
          <w:shd w:val="clear" w:color="auto" w:fill="FFFFFF"/>
          <w:lang w:val="cs-CZ"/>
        </w:rPr>
        <w:t xml:space="preserve">611/21.06.23 Určení daňové rezidence trustů a trustových struktur </w:t>
      </w:r>
    </w:p>
    <w:p w14:paraId="2247B105" w14:textId="77777777" w:rsidR="003D0B01" w:rsidRPr="00483455" w:rsidRDefault="003D0B01" w:rsidP="003D0B01">
      <w:pPr>
        <w:rPr>
          <w:rFonts w:ascii="Arial" w:hAnsi="Arial" w:cs="Arial"/>
          <w:b/>
          <w:color w:val="000000"/>
          <w:shd w:val="clear" w:color="auto" w:fill="FFFFFF"/>
          <w:lang w:val="cs-CZ"/>
        </w:rPr>
      </w:pPr>
    </w:p>
    <w:p w14:paraId="335EC982" w14:textId="77777777" w:rsidR="003D0B01" w:rsidRPr="00483455" w:rsidRDefault="003D0B01" w:rsidP="003D0B01">
      <w:pPr>
        <w:rPr>
          <w:rFonts w:ascii="Arial" w:hAnsi="Arial" w:cs="Arial"/>
          <w:color w:val="000000"/>
          <w:shd w:val="clear" w:color="auto" w:fill="FFFFFF"/>
          <w:lang w:val="cs-CZ"/>
        </w:rPr>
      </w:pPr>
      <w:r w:rsidRPr="00483455">
        <w:rPr>
          <w:rFonts w:ascii="Arial" w:hAnsi="Arial" w:cs="Arial"/>
          <w:color w:val="000000"/>
          <w:shd w:val="clear" w:color="auto" w:fill="FFFFFF"/>
          <w:lang w:val="cs-CZ"/>
        </w:rPr>
        <w:t>Předkládá:</w:t>
      </w:r>
      <w:r w:rsidRPr="00483455">
        <w:rPr>
          <w:rFonts w:ascii="Arial" w:hAnsi="Arial" w:cs="Arial"/>
          <w:color w:val="000000"/>
          <w:shd w:val="clear" w:color="auto" w:fill="FFFFFF"/>
          <w:lang w:val="cs-CZ"/>
        </w:rPr>
        <w:tab/>
        <w:t xml:space="preserve">Ing. Helena Navrátilová, daňový poradce, č. </w:t>
      </w:r>
      <w:proofErr w:type="spellStart"/>
      <w:r w:rsidRPr="00483455">
        <w:rPr>
          <w:rFonts w:ascii="Arial" w:hAnsi="Arial" w:cs="Arial"/>
          <w:color w:val="000000"/>
          <w:shd w:val="clear" w:color="auto" w:fill="FFFFFF"/>
          <w:lang w:val="cs-CZ"/>
        </w:rPr>
        <w:t>osv</w:t>
      </w:r>
      <w:proofErr w:type="spellEnd"/>
      <w:r w:rsidRPr="00483455">
        <w:rPr>
          <w:rFonts w:ascii="Arial" w:hAnsi="Arial" w:cs="Arial"/>
          <w:color w:val="000000"/>
          <w:shd w:val="clear" w:color="auto" w:fill="FFFFFF"/>
          <w:lang w:val="cs-CZ"/>
        </w:rPr>
        <w:t>. 133</w:t>
      </w:r>
    </w:p>
    <w:p w14:paraId="56655F03" w14:textId="77777777" w:rsidR="003D0B01" w:rsidRPr="00483455" w:rsidRDefault="003D0B01" w:rsidP="003D0B01">
      <w:pPr>
        <w:spacing w:after="100" w:afterAutospacing="1"/>
        <w:outlineLvl w:val="3"/>
        <w:rPr>
          <w:rFonts w:ascii="Arial" w:hAnsi="Arial" w:cs="Arial"/>
          <w:color w:val="212529"/>
          <w:lang w:val="cs-CZ"/>
        </w:rPr>
      </w:pPr>
    </w:p>
    <w:p w14:paraId="09FAC751" w14:textId="77777777" w:rsidR="003D0B01" w:rsidRPr="009E7696" w:rsidRDefault="003D0B01" w:rsidP="003D0B01">
      <w:pPr>
        <w:jc w:val="both"/>
        <w:rPr>
          <w:rFonts w:ascii="Arial" w:hAnsi="Arial" w:cs="Arial"/>
          <w:lang w:val="cs-CZ"/>
        </w:rPr>
      </w:pPr>
      <w:r w:rsidRPr="009E7696">
        <w:rPr>
          <w:rFonts w:ascii="Arial" w:hAnsi="Arial" w:cs="Arial"/>
          <w:lang w:val="cs-CZ"/>
        </w:rPr>
        <w:t xml:space="preserve">Poděkování za připomínky k textu </w:t>
      </w:r>
      <w:proofErr w:type="gramStart"/>
      <w:r w:rsidRPr="009E7696">
        <w:rPr>
          <w:rFonts w:ascii="Arial" w:hAnsi="Arial" w:cs="Arial"/>
          <w:lang w:val="cs-CZ"/>
        </w:rPr>
        <w:t>patří</w:t>
      </w:r>
      <w:proofErr w:type="gramEnd"/>
      <w:r w:rsidRPr="009E7696">
        <w:rPr>
          <w:rFonts w:ascii="Arial" w:hAnsi="Arial" w:cs="Arial"/>
          <w:lang w:val="cs-CZ"/>
        </w:rPr>
        <w:t xml:space="preserve"> JUDr. Vlastimilu </w:t>
      </w:r>
      <w:proofErr w:type="spellStart"/>
      <w:r w:rsidRPr="009E7696">
        <w:rPr>
          <w:rFonts w:ascii="Arial" w:hAnsi="Arial" w:cs="Arial"/>
          <w:lang w:val="cs-CZ"/>
        </w:rPr>
        <w:t>Piherovi</w:t>
      </w:r>
      <w:proofErr w:type="spellEnd"/>
      <w:r w:rsidRPr="009E7696">
        <w:rPr>
          <w:rFonts w:ascii="Arial" w:hAnsi="Arial" w:cs="Arial"/>
          <w:lang w:val="cs-CZ"/>
        </w:rPr>
        <w:t>, advokátovi v Kocián Šolc Balaštík, advokátní kancelář, s.r.o.</w:t>
      </w:r>
    </w:p>
    <w:p w14:paraId="74BD1E01" w14:textId="77777777" w:rsidR="003D0B01" w:rsidRPr="009E7696" w:rsidRDefault="003D0B01" w:rsidP="003D0B01">
      <w:pPr>
        <w:jc w:val="both"/>
        <w:rPr>
          <w:rFonts w:ascii="Arial" w:hAnsi="Arial" w:cs="Arial"/>
          <w:b/>
          <w:bCs/>
          <w:lang w:val="cs-CZ"/>
        </w:rPr>
      </w:pPr>
      <w:r w:rsidRPr="009E7696">
        <w:rPr>
          <w:rFonts w:ascii="Arial" w:hAnsi="Arial" w:cs="Arial"/>
          <w:lang w:val="cs-CZ"/>
        </w:rPr>
        <w:tab/>
      </w:r>
      <w:r w:rsidRPr="009E7696">
        <w:rPr>
          <w:rFonts w:ascii="Arial" w:hAnsi="Arial" w:cs="Arial"/>
          <w:lang w:val="cs-CZ"/>
        </w:rPr>
        <w:tab/>
      </w:r>
    </w:p>
    <w:p w14:paraId="1634F351" w14:textId="77777777" w:rsidR="003D0B01" w:rsidRPr="009E7696" w:rsidRDefault="003D0B01" w:rsidP="003D0B01">
      <w:pPr>
        <w:jc w:val="both"/>
        <w:rPr>
          <w:rFonts w:ascii="Arial" w:hAnsi="Arial" w:cs="Arial"/>
          <w:lang w:val="cs-CZ"/>
        </w:rPr>
      </w:pPr>
      <w:r w:rsidRPr="009E7696">
        <w:rPr>
          <w:rFonts w:ascii="Arial" w:hAnsi="Arial" w:cs="Arial"/>
          <w:lang w:val="cs-CZ"/>
        </w:rPr>
        <w:t xml:space="preserve">Cílem tohoto příspěvku je sjednotit přístup k určování daňové rezidence trustů a trustových struktur včetně svěřenských fondů. </w:t>
      </w:r>
    </w:p>
    <w:p w14:paraId="08673416" w14:textId="77777777" w:rsidR="003D0B01" w:rsidRPr="009E7696" w:rsidRDefault="003D0B01" w:rsidP="003D0B01">
      <w:pPr>
        <w:jc w:val="both"/>
        <w:rPr>
          <w:rFonts w:ascii="Arial" w:hAnsi="Arial" w:cs="Arial"/>
          <w:lang w:val="cs-CZ"/>
        </w:rPr>
      </w:pPr>
    </w:p>
    <w:p w14:paraId="7A45D24E" w14:textId="77777777" w:rsidR="003D0B01" w:rsidRPr="009E7696" w:rsidRDefault="003D0B01" w:rsidP="003D0B01">
      <w:pPr>
        <w:jc w:val="both"/>
        <w:rPr>
          <w:rFonts w:ascii="Arial" w:hAnsi="Arial" w:cs="Arial"/>
          <w:lang w:val="cs-CZ"/>
        </w:rPr>
      </w:pPr>
      <w:r w:rsidRPr="009E7696">
        <w:rPr>
          <w:rFonts w:ascii="Arial" w:hAnsi="Arial" w:cs="Arial"/>
          <w:lang w:val="cs-CZ"/>
        </w:rPr>
        <w:t>Určení daňové rezidence se v tomto příspěvku týká pouze trustů a trustových struktur, které jsou ve svých základních právních znacích srovnatelné se svěřenským fondem, a svěřenských fondů samých (dále společně jen „trust“). Trust se může kvalifikovat jako jednotka, (i) která je podle právního řádu státu, podle nějž je zřízena, poplatníkem daně z příjmů, jako tomu je v případě svěřenských fondů podle § 17 odst. 1 písm. f) zákona o daních z příjmů („ZDP“), nebo (</w:t>
      </w:r>
      <w:proofErr w:type="spellStart"/>
      <w:r w:rsidRPr="009E7696">
        <w:rPr>
          <w:rFonts w:ascii="Arial" w:hAnsi="Arial" w:cs="Arial"/>
          <w:lang w:val="cs-CZ"/>
        </w:rPr>
        <w:t>ii</w:t>
      </w:r>
      <w:proofErr w:type="spellEnd"/>
      <w:r w:rsidRPr="009E7696">
        <w:rPr>
          <w:rFonts w:ascii="Arial" w:hAnsi="Arial" w:cs="Arial"/>
          <w:lang w:val="cs-CZ"/>
        </w:rPr>
        <w:t>) jejíž správce, ve smyslu svěřenský správce, „</w:t>
      </w:r>
      <w:proofErr w:type="spellStart"/>
      <w:r w:rsidRPr="009E7696">
        <w:rPr>
          <w:rFonts w:ascii="Arial" w:hAnsi="Arial" w:cs="Arial"/>
          <w:lang w:val="cs-CZ"/>
        </w:rPr>
        <w:t>trustee</w:t>
      </w:r>
      <w:proofErr w:type="spellEnd"/>
      <w:r w:rsidRPr="009E7696">
        <w:rPr>
          <w:rFonts w:ascii="Arial" w:hAnsi="Arial" w:cs="Arial"/>
          <w:lang w:val="cs-CZ"/>
        </w:rPr>
        <w:t xml:space="preserve">“, (dále jen „správce trustu“) je za daný trust a k tíži majetku trustu poplatníkem daně z příjmů. Takový trust, resp. jeho správce je pak také zpravidla považován za osobu ve smyslu příslušné mezinárodní smlouvy o zamezení dvojímu zdanění. </w:t>
      </w:r>
    </w:p>
    <w:p w14:paraId="63A201E1" w14:textId="77777777" w:rsidR="003D0B01" w:rsidRPr="009E7696" w:rsidRDefault="003D0B01" w:rsidP="003D0B01">
      <w:pPr>
        <w:jc w:val="both"/>
        <w:rPr>
          <w:rFonts w:ascii="Arial" w:hAnsi="Arial" w:cs="Arial"/>
          <w:lang w:val="cs-CZ"/>
        </w:rPr>
      </w:pPr>
    </w:p>
    <w:p w14:paraId="592F0534" w14:textId="77777777" w:rsidR="003D0B01" w:rsidRPr="009E7696" w:rsidRDefault="003D0B01" w:rsidP="003D0B01">
      <w:pPr>
        <w:jc w:val="both"/>
        <w:rPr>
          <w:rFonts w:ascii="Arial" w:hAnsi="Arial" w:cs="Arial"/>
          <w:lang w:val="cs-CZ"/>
        </w:rPr>
      </w:pPr>
      <w:r w:rsidRPr="009E7696">
        <w:rPr>
          <w:rFonts w:ascii="Arial" w:hAnsi="Arial" w:cs="Arial"/>
          <w:lang w:val="cs-CZ"/>
        </w:rPr>
        <w:t>Tento příspěvek navazuje na příspěvek KOV</w:t>
      </w:r>
      <w:r w:rsidRPr="009E7696">
        <w:rPr>
          <w:rFonts w:ascii="Arial" w:hAnsi="Arial" w:cs="Arial"/>
          <w:b/>
          <w:shd w:val="clear" w:color="auto" w:fill="FFFFFF"/>
          <w:lang w:val="cs-CZ"/>
        </w:rPr>
        <w:t xml:space="preserve"> </w:t>
      </w:r>
      <w:r w:rsidRPr="009E7696">
        <w:rPr>
          <w:rFonts w:ascii="Arial" w:hAnsi="Arial" w:cs="Arial"/>
          <w:lang w:val="cs-CZ"/>
        </w:rPr>
        <w:t>588/24.11.21, nedotýká se však uzavřené problematiky zdanění zahraničních podílových fondů řešené v KOV 377/11.07.12.</w:t>
      </w:r>
    </w:p>
    <w:p w14:paraId="7BE78E61" w14:textId="77777777" w:rsidR="003D0B01" w:rsidRPr="009E7696" w:rsidRDefault="003D0B01" w:rsidP="003D0B01">
      <w:pPr>
        <w:pStyle w:val="Nadpis10"/>
        <w:numPr>
          <w:ilvl w:val="0"/>
          <w:numId w:val="49"/>
        </w:numPr>
        <w:tabs>
          <w:tab w:val="left" w:pos="1134"/>
        </w:tabs>
        <w:ind w:left="0" w:firstLine="0"/>
        <w:jc w:val="both"/>
        <w:rPr>
          <w:bCs w:val="0"/>
          <w:i/>
          <w:sz w:val="24"/>
          <w:szCs w:val="24"/>
          <w:lang w:val="cs-CZ"/>
        </w:rPr>
      </w:pPr>
      <w:r w:rsidRPr="009E7696">
        <w:rPr>
          <w:sz w:val="24"/>
          <w:szCs w:val="24"/>
          <w:lang w:val="cs-CZ"/>
        </w:rPr>
        <w:t>Popis problému</w:t>
      </w:r>
    </w:p>
    <w:p w14:paraId="7D4E0E0E" w14:textId="77777777" w:rsidR="003D0B01" w:rsidRPr="009E7696" w:rsidRDefault="003D0B01" w:rsidP="003D0B01">
      <w:pPr>
        <w:spacing w:before="240"/>
        <w:jc w:val="both"/>
        <w:rPr>
          <w:rFonts w:ascii="Arial" w:hAnsi="Arial" w:cs="Arial"/>
          <w:lang w:val="cs-CZ"/>
        </w:rPr>
      </w:pPr>
      <w:r w:rsidRPr="009E7696">
        <w:rPr>
          <w:rFonts w:ascii="Arial" w:hAnsi="Arial" w:cs="Arial"/>
          <w:lang w:val="cs-CZ"/>
        </w:rPr>
        <w:t xml:space="preserve">Vzhledem k absenci výslovné právní úpravy a specifickým znakům trustu mohou v praxi vznikat pochybnosti o určení státu daňové rezidence trustu. Důvodem je, že daňová rezidence se obecně určuje mj. podle bydliště nebo sídla dané osoby. Trust však nemá bydliště ani sídlo, kterým je u právnické osoby zpravidla místo sídla zapsané v příslušném úředním rejstříku. Vzniká tak otázka, zda jako kritérium pro určení daňové rezidence lze použít místo vedení, kterým se podle § 17 odst. 3 ZDP rozumí adresa </w:t>
      </w:r>
      <w:bookmarkStart w:id="3" w:name="_Hlk56501141"/>
      <w:r w:rsidRPr="009E7696">
        <w:rPr>
          <w:rFonts w:ascii="Arial" w:hAnsi="Arial" w:cs="Arial"/>
          <w:lang w:val="cs-CZ"/>
        </w:rPr>
        <w:t>místa, ze kterého je daná osoba řízena</w:t>
      </w:r>
      <w:bookmarkEnd w:id="3"/>
      <w:r w:rsidRPr="009E7696">
        <w:rPr>
          <w:rFonts w:ascii="Arial" w:hAnsi="Arial" w:cs="Arial"/>
          <w:lang w:val="cs-CZ"/>
        </w:rPr>
        <w:t xml:space="preserve">. </w:t>
      </w:r>
    </w:p>
    <w:p w14:paraId="367E21CD" w14:textId="77777777" w:rsidR="003D0B01" w:rsidRPr="009E7696" w:rsidRDefault="003D0B01" w:rsidP="003D0B01">
      <w:pPr>
        <w:jc w:val="both"/>
        <w:rPr>
          <w:rFonts w:ascii="Arial" w:hAnsi="Arial" w:cs="Arial"/>
          <w:lang w:val="cs-CZ"/>
        </w:rPr>
      </w:pPr>
    </w:p>
    <w:p w14:paraId="1FE392E9" w14:textId="77777777" w:rsidR="003D0B01" w:rsidRPr="009E7696" w:rsidRDefault="003D0B01" w:rsidP="003D0B01">
      <w:pPr>
        <w:jc w:val="both"/>
        <w:rPr>
          <w:rFonts w:ascii="Arial" w:hAnsi="Arial" w:cs="Arial"/>
          <w:lang w:val="cs-CZ"/>
        </w:rPr>
      </w:pPr>
      <w:r w:rsidRPr="009E7696">
        <w:rPr>
          <w:rFonts w:ascii="Arial" w:hAnsi="Arial" w:cs="Arial"/>
          <w:lang w:val="cs-CZ"/>
        </w:rPr>
        <w:t xml:space="preserve">V případě, že trust je považován podle příslušných národních předpisů o daních za daňového rezidenta ve dvou státech, je pro účely zamezení dvojímu zdanění třeba určit, ve kterém ze smluvních států bude považován za daňového rezidenta, kde je jeho </w:t>
      </w:r>
      <w:proofErr w:type="spellStart"/>
      <w:r w:rsidRPr="009E7696">
        <w:rPr>
          <w:rFonts w:ascii="Arial" w:hAnsi="Arial" w:cs="Arial"/>
          <w:i/>
          <w:iCs/>
          <w:lang w:val="cs-CZ"/>
        </w:rPr>
        <w:t>situs</w:t>
      </w:r>
      <w:proofErr w:type="spellEnd"/>
      <w:r w:rsidRPr="009E7696">
        <w:rPr>
          <w:rFonts w:ascii="Arial" w:hAnsi="Arial" w:cs="Arial"/>
          <w:lang w:val="cs-CZ"/>
        </w:rPr>
        <w:t>. Obecně se stát daňové rezidence určuje podle těsnosti osobní vazby, samotné existence – fyzické přítomnosti, řízení či fungování dané jednotky ve vztahu k určitému státu, případě s ohledem na to, kde je situován její majetek, a to zejména v případě nemovitého majetku. Správci trustu (tedy i svěřenskému správci) obvykle náleží plná správa majetku a výkon povinností podle statutu trustu (nehledě na to, že může běžným obhospodařováním majetku podle stanovených pravidel pověřit jinou osobu</w:t>
      </w:r>
      <w:r w:rsidRPr="009E7696">
        <w:rPr>
          <w:rStyle w:val="Odkaznakoment"/>
          <w:rFonts w:ascii="Arial" w:hAnsi="Arial" w:cs="Arial"/>
          <w:sz w:val="24"/>
          <w:szCs w:val="24"/>
          <w:lang w:val="cs-CZ"/>
        </w:rPr>
        <w:t>)</w:t>
      </w:r>
      <w:r w:rsidRPr="009E7696">
        <w:rPr>
          <w:rFonts w:ascii="Arial" w:hAnsi="Arial" w:cs="Arial"/>
          <w:lang w:val="cs-CZ"/>
        </w:rPr>
        <w:t>. Místo, ve kterém správce trustu vykonává takovouto správu svěřeného majetku se tak jeví jako relevantní pro určení daňové rezidence trustu.</w:t>
      </w:r>
    </w:p>
    <w:p w14:paraId="7887BB86" w14:textId="77777777" w:rsidR="003D0B01" w:rsidRPr="009E7696" w:rsidRDefault="003D0B01" w:rsidP="003D0B01">
      <w:pPr>
        <w:jc w:val="both"/>
        <w:rPr>
          <w:rFonts w:ascii="Arial" w:hAnsi="Arial" w:cs="Arial"/>
          <w:lang w:val="cs-CZ"/>
        </w:rPr>
      </w:pPr>
    </w:p>
    <w:p w14:paraId="0A31FD71" w14:textId="77777777" w:rsidR="003D0B01" w:rsidRPr="009E7696" w:rsidRDefault="003D0B01" w:rsidP="003D0B01">
      <w:pPr>
        <w:jc w:val="both"/>
        <w:rPr>
          <w:rFonts w:ascii="Arial" w:hAnsi="Arial" w:cs="Arial"/>
          <w:lang w:val="cs-CZ"/>
        </w:rPr>
      </w:pPr>
      <w:r w:rsidRPr="009E7696">
        <w:rPr>
          <w:rFonts w:ascii="Arial" w:hAnsi="Arial" w:cs="Arial"/>
          <w:lang w:val="cs-CZ"/>
        </w:rPr>
        <w:lastRenderedPageBreak/>
        <w:t>To však vyvolává otázku, zda místo, ze kterého je trust správcem trustu spravován ve smyslu civilně právních předpisů, je možné považovat za místo, ze kterého je trust řízen, tedy za místo vedení ve smyslu Modelové konvence o zdanění příjmu a kapitálu OECD a komentáře k ní, resp. prováděných smluv o zamezení dvojímu zdanění sjednaných Českou republikou.</w:t>
      </w:r>
    </w:p>
    <w:p w14:paraId="3AD491F9" w14:textId="77777777" w:rsidR="003D0B01" w:rsidRPr="009E7696" w:rsidRDefault="003D0B01" w:rsidP="003D0B01">
      <w:pPr>
        <w:pStyle w:val="Nadpis10"/>
        <w:tabs>
          <w:tab w:val="left" w:pos="0"/>
        </w:tabs>
        <w:jc w:val="both"/>
        <w:rPr>
          <w:b w:val="0"/>
          <w:i/>
          <w:kern w:val="0"/>
          <w:sz w:val="24"/>
          <w:szCs w:val="24"/>
          <w:lang w:val="cs-CZ"/>
        </w:rPr>
      </w:pPr>
      <w:r w:rsidRPr="009E7696">
        <w:rPr>
          <w:b w:val="0"/>
          <w:kern w:val="0"/>
          <w:sz w:val="24"/>
          <w:szCs w:val="24"/>
          <w:lang w:val="cs-CZ"/>
        </w:rPr>
        <w:t xml:space="preserve">Správce trustu vykonává obvykle plnou správu majetku trustu, jejíž součástí jsou klíčová řídící, případně obchodní a další rozhodnutí ve smyslu Sdělení Ministerstva financí k problematice pojmů „místo vedení“ a „skutečný vlastník“, č.j. 251/122 867/2000.  Podle našeho názoru je tak možné použít k určení daňové rezidence trustu pro účely zákona o daních z příjmů, resp. příslušné smlouvy o zamezení dvojímu zdanění </w:t>
      </w:r>
    </w:p>
    <w:p w14:paraId="07F0C099" w14:textId="77777777" w:rsidR="003D0B01" w:rsidRPr="009E7696" w:rsidRDefault="003D0B01" w:rsidP="003D0B01">
      <w:pPr>
        <w:pStyle w:val="Nadpis10"/>
        <w:numPr>
          <w:ilvl w:val="0"/>
          <w:numId w:val="50"/>
        </w:numPr>
        <w:tabs>
          <w:tab w:val="left" w:pos="0"/>
        </w:tabs>
        <w:spacing w:before="0" w:after="0"/>
        <w:ind w:left="714" w:hanging="357"/>
        <w:jc w:val="both"/>
        <w:rPr>
          <w:b w:val="0"/>
          <w:i/>
          <w:kern w:val="0"/>
          <w:sz w:val="24"/>
          <w:szCs w:val="24"/>
          <w:lang w:val="cs-CZ"/>
        </w:rPr>
      </w:pPr>
      <w:r w:rsidRPr="009E7696">
        <w:rPr>
          <w:b w:val="0"/>
          <w:kern w:val="0"/>
          <w:sz w:val="24"/>
          <w:szCs w:val="24"/>
          <w:lang w:val="cs-CZ"/>
        </w:rPr>
        <w:t xml:space="preserve">místo sídla nebo místo (skutečného) vedení, pokud se </w:t>
      </w:r>
      <w:proofErr w:type="gramStart"/>
      <w:r w:rsidRPr="009E7696">
        <w:rPr>
          <w:b w:val="0"/>
          <w:kern w:val="0"/>
          <w:sz w:val="24"/>
          <w:szCs w:val="24"/>
          <w:lang w:val="cs-CZ"/>
        </w:rPr>
        <w:t>liší</w:t>
      </w:r>
      <w:proofErr w:type="gramEnd"/>
      <w:r w:rsidRPr="009E7696">
        <w:rPr>
          <w:b w:val="0"/>
          <w:kern w:val="0"/>
          <w:sz w:val="24"/>
          <w:szCs w:val="24"/>
          <w:lang w:val="cs-CZ"/>
        </w:rPr>
        <w:t xml:space="preserve"> od sídla, správce trustu, který je právnickou osobou nebo </w:t>
      </w:r>
    </w:p>
    <w:p w14:paraId="3A195778" w14:textId="77777777" w:rsidR="003D0B01" w:rsidRPr="009E7696" w:rsidRDefault="003D0B01" w:rsidP="003D0B01">
      <w:pPr>
        <w:pStyle w:val="Nadpis10"/>
        <w:numPr>
          <w:ilvl w:val="0"/>
          <w:numId w:val="50"/>
        </w:numPr>
        <w:tabs>
          <w:tab w:val="left" w:pos="0"/>
        </w:tabs>
        <w:spacing w:before="0" w:after="0"/>
        <w:ind w:left="714" w:hanging="357"/>
        <w:jc w:val="both"/>
        <w:rPr>
          <w:b w:val="0"/>
          <w:i/>
          <w:kern w:val="0"/>
          <w:sz w:val="24"/>
          <w:szCs w:val="24"/>
          <w:lang w:val="cs-CZ"/>
        </w:rPr>
      </w:pPr>
      <w:r w:rsidRPr="009E7696">
        <w:rPr>
          <w:b w:val="0"/>
          <w:kern w:val="0"/>
          <w:sz w:val="24"/>
          <w:szCs w:val="24"/>
          <w:lang w:val="cs-CZ"/>
        </w:rPr>
        <w:t xml:space="preserve">bydliště správce trustu, který je fyzickou osobou, </w:t>
      </w:r>
    </w:p>
    <w:p w14:paraId="793D5EAC" w14:textId="77777777" w:rsidR="003D0B01" w:rsidRPr="009E7696" w:rsidRDefault="003D0B01" w:rsidP="003D0B01">
      <w:pPr>
        <w:pStyle w:val="Nadpis10"/>
        <w:tabs>
          <w:tab w:val="left" w:pos="0"/>
        </w:tabs>
        <w:jc w:val="both"/>
        <w:rPr>
          <w:b w:val="0"/>
          <w:i/>
          <w:kern w:val="0"/>
          <w:sz w:val="24"/>
          <w:szCs w:val="24"/>
          <w:lang w:val="cs-CZ"/>
        </w:rPr>
      </w:pPr>
      <w:r w:rsidRPr="009E7696">
        <w:rPr>
          <w:b w:val="0"/>
          <w:kern w:val="0"/>
          <w:sz w:val="24"/>
          <w:szCs w:val="24"/>
          <w:lang w:val="cs-CZ"/>
        </w:rPr>
        <w:t>v němž správce trustu vykonává správu svěřeného majetku.</w:t>
      </w:r>
    </w:p>
    <w:p w14:paraId="4265E2A5" w14:textId="77777777" w:rsidR="003D0B01" w:rsidRPr="009E7696" w:rsidRDefault="003D0B01" w:rsidP="003D0B01">
      <w:pPr>
        <w:pStyle w:val="Nadpis10"/>
        <w:numPr>
          <w:ilvl w:val="0"/>
          <w:numId w:val="49"/>
        </w:numPr>
        <w:tabs>
          <w:tab w:val="left" w:pos="1134"/>
        </w:tabs>
        <w:ind w:left="0" w:firstLine="0"/>
        <w:jc w:val="both"/>
        <w:rPr>
          <w:i/>
          <w:sz w:val="24"/>
          <w:szCs w:val="24"/>
          <w:lang w:val="cs-CZ"/>
        </w:rPr>
      </w:pPr>
      <w:r w:rsidRPr="009E7696">
        <w:rPr>
          <w:sz w:val="24"/>
          <w:szCs w:val="24"/>
          <w:lang w:val="cs-CZ"/>
        </w:rPr>
        <w:t>Odůvodnění</w:t>
      </w:r>
    </w:p>
    <w:p w14:paraId="59B4BF03" w14:textId="77777777" w:rsidR="003D0B01" w:rsidRPr="009E7696" w:rsidRDefault="003D0B01" w:rsidP="003D0B01">
      <w:pPr>
        <w:jc w:val="both"/>
        <w:rPr>
          <w:rFonts w:ascii="Arial" w:hAnsi="Arial" w:cs="Arial"/>
          <w:bCs/>
          <w:u w:val="single"/>
          <w:lang w:val="cs-CZ"/>
        </w:rPr>
      </w:pPr>
    </w:p>
    <w:p w14:paraId="0610C596" w14:textId="77777777" w:rsidR="003D0B01" w:rsidRPr="009E7696" w:rsidRDefault="003D0B01" w:rsidP="003D0B01">
      <w:pPr>
        <w:jc w:val="both"/>
        <w:rPr>
          <w:rFonts w:ascii="Arial" w:hAnsi="Arial" w:cs="Arial"/>
          <w:lang w:val="cs-CZ"/>
        </w:rPr>
      </w:pPr>
      <w:r w:rsidRPr="009E7696">
        <w:rPr>
          <w:rFonts w:ascii="Arial" w:hAnsi="Arial" w:cs="Arial"/>
          <w:lang w:val="cs-CZ"/>
        </w:rPr>
        <w:t>Uvedený návrh systematicky navazuje na přístup k jakýmkoliv jiným osobám v případě, že dojde ke konfliktu v určení daňové rezidence podle národních právních předpisů o daních, kdy se aplikuje článek Rezident příslušné smlouvy o zamezení dvojímu zdanění, v případě České republiky zpravidla sjednaný na základě článku 4 Modelové konvence o zdanění příjmu a kapitálu OECD. Podle něj se použije k určení daňové rezidence kromě bydliště (a hierarchie navazujících určovatelů) zpravidla sídlo nebo místo (skutečného) vedení, tj. místo, kde je osoba centrálně řízena a kontrolována, resp. kde je hlavní místo vedení. Místem vedení je tak zpravidla místo, kde má správce trustu bydliště nebo své sídlo nebo místo, kde skutečně vykonává svoji činnost, resp. má svoji pobočku, ze které trust spravuje.</w:t>
      </w:r>
    </w:p>
    <w:p w14:paraId="4C78C9C2" w14:textId="77777777" w:rsidR="003D0B01" w:rsidRPr="009E7696" w:rsidRDefault="003D0B01" w:rsidP="003D0B01">
      <w:pPr>
        <w:jc w:val="both"/>
        <w:rPr>
          <w:rFonts w:ascii="Arial" w:hAnsi="Arial" w:cs="Arial"/>
          <w:lang w:val="cs-CZ"/>
        </w:rPr>
      </w:pPr>
    </w:p>
    <w:p w14:paraId="50E0EF24" w14:textId="77777777" w:rsidR="003D0B01" w:rsidRPr="009E7696" w:rsidRDefault="003D0B01" w:rsidP="003D0B01">
      <w:pPr>
        <w:jc w:val="both"/>
        <w:rPr>
          <w:rFonts w:ascii="Arial" w:hAnsi="Arial" w:cs="Arial"/>
          <w:lang w:val="cs-CZ"/>
        </w:rPr>
      </w:pPr>
      <w:r w:rsidRPr="009E7696">
        <w:rPr>
          <w:rFonts w:ascii="Arial" w:hAnsi="Arial" w:cs="Arial"/>
          <w:lang w:val="cs-CZ"/>
        </w:rPr>
        <w:t xml:space="preserve">Tento přístup též reflektuje např. § 73 odst. 2 </w:t>
      </w:r>
      <w:hyperlink r:id="rId8">
        <w:r w:rsidRPr="009E7696">
          <w:rPr>
            <w:rStyle w:val="InternetLink"/>
            <w:rFonts w:ascii="Arial" w:hAnsi="Arial" w:cs="Arial"/>
            <w:lang w:val="cs-CZ"/>
          </w:rPr>
          <w:t>zákona č. 91/2012 Sb.</w:t>
        </w:r>
      </w:hyperlink>
      <w:r w:rsidRPr="009E7696">
        <w:rPr>
          <w:rFonts w:ascii="Arial" w:hAnsi="Arial" w:cs="Arial"/>
          <w:shd w:val="clear" w:color="auto" w:fill="FFFFFF"/>
          <w:lang w:val="cs-CZ"/>
        </w:rPr>
        <w:t xml:space="preserve">, </w:t>
      </w:r>
      <w:r w:rsidRPr="009E7696">
        <w:rPr>
          <w:rFonts w:ascii="Arial" w:hAnsi="Arial" w:cs="Arial"/>
          <w:lang w:val="cs-CZ"/>
        </w:rPr>
        <w:t xml:space="preserve">o mezinárodním právu soukromém, ve znění pozdějších předpisů, který jako hraniční určovatel uvádí primárně místo, z něhož je fond (ve smyslu trust) spravován, nebo čl. 31 odst. 1 tzv. V. AML směrnice, který nově hovoří o "svěřenském fondu spravovaném v daném členském státě" (který dále reflektuje § 12 zákona č. 37/2021 Sb., o evidenci skutečných majitelů, ve znění pozdějších předpisů, když váže povinnost evidování skutečných majitelů na místo, kde má svěřenský správce nebo správce trustové struktury bydliště, sídlo nebo pobočku, z níž je daná jednotka spravována. </w:t>
      </w:r>
    </w:p>
    <w:p w14:paraId="604325D9" w14:textId="77777777" w:rsidR="003D0B01" w:rsidRPr="009E7696" w:rsidRDefault="003D0B01" w:rsidP="003D0B01">
      <w:pPr>
        <w:jc w:val="both"/>
        <w:rPr>
          <w:rFonts w:ascii="Arial" w:hAnsi="Arial" w:cs="Arial"/>
          <w:lang w:val="cs-CZ"/>
        </w:rPr>
      </w:pPr>
    </w:p>
    <w:p w14:paraId="0B0FD3A5" w14:textId="77777777" w:rsidR="003D0B01" w:rsidRPr="009E7696" w:rsidRDefault="003D0B01" w:rsidP="003D0B01">
      <w:pPr>
        <w:jc w:val="both"/>
        <w:rPr>
          <w:rFonts w:ascii="Arial" w:hAnsi="Arial" w:cs="Arial"/>
          <w:lang w:val="cs-CZ"/>
        </w:rPr>
      </w:pPr>
      <w:bookmarkStart w:id="4" w:name="_Hlk92701302"/>
      <w:r w:rsidRPr="009E7696">
        <w:rPr>
          <w:rFonts w:ascii="Arial" w:hAnsi="Arial" w:cs="Arial"/>
          <w:lang w:val="cs-CZ"/>
        </w:rPr>
        <w:t>Pro úplnost dodáváme, že pro určení daňové rezidence trustu je významný pouze výkon takové správy, která dosáhne určité intenzity, zejména v rámci diskrece správce trustu. Pro určení daňové rezidence trustu tedy není relevantní běžné obhospodařování majetku trustu prováděné nezávislým správcem majetku, který je povinen se řídit stanovenou strategií a limity</w:t>
      </w:r>
      <w:r w:rsidRPr="009E7696">
        <w:rPr>
          <w:rStyle w:val="FootnoteAnchor"/>
          <w:rFonts w:ascii="Arial" w:hAnsi="Arial" w:cs="Arial"/>
          <w:lang w:val="cs-CZ"/>
        </w:rPr>
        <w:footnoteReference w:id="1"/>
      </w:r>
      <w:r w:rsidRPr="009E7696">
        <w:rPr>
          <w:rFonts w:ascii="Arial" w:hAnsi="Arial" w:cs="Arial"/>
          <w:lang w:val="cs-CZ"/>
        </w:rPr>
        <w:t xml:space="preserve">. </w:t>
      </w:r>
    </w:p>
    <w:p w14:paraId="7937244C" w14:textId="77777777" w:rsidR="003D0B01" w:rsidRPr="009E7696" w:rsidRDefault="003D0B01" w:rsidP="003D0B01">
      <w:pPr>
        <w:jc w:val="both"/>
        <w:rPr>
          <w:rFonts w:ascii="Arial" w:hAnsi="Arial" w:cs="Arial"/>
          <w:lang w:val="cs-CZ"/>
        </w:rPr>
      </w:pPr>
    </w:p>
    <w:p w14:paraId="53788320" w14:textId="77777777" w:rsidR="003D0B01" w:rsidRPr="009E7696" w:rsidRDefault="003D0B01" w:rsidP="003D0B01">
      <w:pPr>
        <w:jc w:val="both"/>
        <w:rPr>
          <w:rFonts w:ascii="Arial" w:hAnsi="Arial" w:cs="Arial"/>
          <w:lang w:val="cs-CZ"/>
        </w:rPr>
      </w:pPr>
      <w:r w:rsidRPr="009E7696">
        <w:rPr>
          <w:rFonts w:ascii="Arial" w:hAnsi="Arial" w:cs="Arial"/>
          <w:lang w:val="cs-CZ"/>
        </w:rPr>
        <w:t xml:space="preserve">Z výše uvedeného dále vyplývá, že právo, kterým se řídí určitý trust, resp. jeho zakladatelské a další dokumenty, není pro určení daňové rezidence relevantní. Dále </w:t>
      </w:r>
      <w:r w:rsidRPr="009E7696">
        <w:rPr>
          <w:rFonts w:ascii="Arial" w:hAnsi="Arial" w:cs="Arial"/>
          <w:lang w:val="cs-CZ"/>
        </w:rPr>
        <w:lastRenderedPageBreak/>
        <w:t>je zřejmé, že dojde-li ke změně rozhodných skutečností během doby trvání trustu, může dojít i ke změně daňové rezidence se všemi standardními daňovými důsledky.</w:t>
      </w:r>
    </w:p>
    <w:p w14:paraId="514B44DB" w14:textId="77777777" w:rsidR="003D0B01" w:rsidRPr="009E7696" w:rsidRDefault="003D0B01" w:rsidP="003D0B01">
      <w:pPr>
        <w:pStyle w:val="Nadpis10"/>
        <w:numPr>
          <w:ilvl w:val="0"/>
          <w:numId w:val="49"/>
        </w:numPr>
        <w:tabs>
          <w:tab w:val="left" w:pos="1134"/>
        </w:tabs>
        <w:ind w:left="1134"/>
        <w:jc w:val="both"/>
        <w:rPr>
          <w:i/>
          <w:iCs/>
          <w:sz w:val="24"/>
          <w:szCs w:val="24"/>
          <w:lang w:val="cs-CZ"/>
        </w:rPr>
      </w:pPr>
      <w:r w:rsidRPr="009E7696">
        <w:rPr>
          <w:iCs/>
          <w:sz w:val="24"/>
          <w:szCs w:val="24"/>
          <w:lang w:val="cs-CZ"/>
        </w:rPr>
        <w:t>Závěr</w:t>
      </w:r>
    </w:p>
    <w:p w14:paraId="4F9D646B" w14:textId="77777777" w:rsidR="003D0B01" w:rsidRPr="009E7696" w:rsidRDefault="003D0B01" w:rsidP="003D0B01">
      <w:pPr>
        <w:spacing w:before="240"/>
        <w:jc w:val="both"/>
        <w:rPr>
          <w:rFonts w:ascii="Arial" w:hAnsi="Arial" w:cs="Arial"/>
          <w:lang w:val="cs-CZ"/>
        </w:rPr>
      </w:pPr>
      <w:r w:rsidRPr="009E7696">
        <w:rPr>
          <w:rFonts w:ascii="Arial" w:hAnsi="Arial" w:cs="Arial"/>
          <w:lang w:val="cs-CZ"/>
        </w:rPr>
        <w:t xml:space="preserve">Navrhujeme, aby pro určení daňové rezidence trustu bylo rozhodné místo sídla, popřípadě místo vedení právnické osoby, která je správcem trustu, nebo bydliště správce trustu, je-li správcem trustu fyzická osoba, popřípadě jiné místo, z něhož správce trustu skutečně vykonává správu, resp. řízení trustu, </w:t>
      </w:r>
    </w:p>
    <w:p w14:paraId="6422350F" w14:textId="77777777" w:rsidR="003D0B01" w:rsidRPr="009E7696" w:rsidRDefault="003D0B01" w:rsidP="003D0B01">
      <w:pPr>
        <w:spacing w:before="240"/>
        <w:jc w:val="both"/>
        <w:rPr>
          <w:rFonts w:ascii="Arial" w:hAnsi="Arial" w:cs="Arial"/>
          <w:lang w:val="cs-CZ"/>
        </w:rPr>
      </w:pPr>
      <w:r w:rsidRPr="009E7696">
        <w:rPr>
          <w:rFonts w:ascii="Arial" w:hAnsi="Arial" w:cs="Arial"/>
          <w:lang w:val="cs-CZ"/>
        </w:rPr>
        <w:t xml:space="preserve">(i)  s tím, že za rozhodující se zásadně považuje sídlo nebo místo vedení správce trustu, který je právnickou osobou, nebo bydliště správce, který je fyzickou osobou, v němž se vykonávají činnosti správy trustu, které mají povahu klíčových řídících a dalších zásadních rozhodnutí v rámci diskrece správce trustu, </w:t>
      </w:r>
    </w:p>
    <w:p w14:paraId="0F5A78A3" w14:textId="77777777" w:rsidR="003D0B01" w:rsidRPr="009E7696" w:rsidRDefault="003D0B01" w:rsidP="003D0B01">
      <w:pPr>
        <w:spacing w:before="240"/>
        <w:jc w:val="both"/>
        <w:rPr>
          <w:rFonts w:ascii="Arial" w:hAnsi="Arial" w:cs="Arial"/>
          <w:lang w:val="cs-CZ"/>
        </w:rPr>
      </w:pPr>
      <w:r w:rsidRPr="009E7696">
        <w:rPr>
          <w:rFonts w:ascii="Arial" w:hAnsi="Arial" w:cs="Arial"/>
          <w:lang w:val="cs-CZ"/>
        </w:rPr>
        <w:t>(</w:t>
      </w:r>
      <w:proofErr w:type="spellStart"/>
      <w:r w:rsidRPr="009E7696">
        <w:rPr>
          <w:rFonts w:ascii="Arial" w:hAnsi="Arial" w:cs="Arial"/>
          <w:lang w:val="cs-CZ"/>
        </w:rPr>
        <w:t>ii</w:t>
      </w:r>
      <w:proofErr w:type="spellEnd"/>
      <w:r w:rsidRPr="009E7696">
        <w:rPr>
          <w:rFonts w:ascii="Arial" w:hAnsi="Arial" w:cs="Arial"/>
          <w:lang w:val="cs-CZ"/>
        </w:rPr>
        <w:t xml:space="preserve">) přičemž za takové místo se zásadně nepovažuje místo výkonu obhospodařování majetku prováděné nezávislými správci majetku v rámci běžné (obvyklé) správy majetku trustu (na profesionální bázi). </w:t>
      </w:r>
    </w:p>
    <w:bookmarkEnd w:id="4"/>
    <w:p w14:paraId="1CD2C62E" w14:textId="77777777" w:rsidR="003D0B01" w:rsidRPr="009E7696" w:rsidRDefault="003D0B01" w:rsidP="003D0B01">
      <w:pPr>
        <w:spacing w:before="240"/>
        <w:jc w:val="both"/>
        <w:rPr>
          <w:rFonts w:ascii="Arial" w:hAnsi="Arial" w:cs="Arial"/>
          <w:lang w:val="cs-CZ"/>
        </w:rPr>
      </w:pPr>
      <w:r w:rsidRPr="009E7696">
        <w:rPr>
          <w:rFonts w:ascii="Arial" w:hAnsi="Arial" w:cs="Arial"/>
          <w:lang w:val="cs-CZ"/>
        </w:rPr>
        <w:t xml:space="preserve">Každý případ je však třeba posuzovat individuálně, přičemž je třeba vzít v úvahu ustanovení zákona o daních z příjmů, příslušné smlouvy o zamezení dvojímu zdanění, právní jednání, kterým byl trust zřízen, a především příslušné skutkové okolnosti. </w:t>
      </w:r>
    </w:p>
    <w:p w14:paraId="5D0998B1" w14:textId="77777777" w:rsidR="003D0B01" w:rsidRPr="009E7696" w:rsidRDefault="003D0B01" w:rsidP="003D0B01">
      <w:pPr>
        <w:spacing w:before="240"/>
        <w:jc w:val="both"/>
        <w:rPr>
          <w:rFonts w:ascii="Arial" w:hAnsi="Arial" w:cs="Arial"/>
          <w:lang w:val="cs-CZ"/>
        </w:rPr>
      </w:pPr>
      <w:bookmarkStart w:id="5" w:name="_Hlk81234341"/>
      <w:r w:rsidRPr="009E7696">
        <w:rPr>
          <w:rFonts w:ascii="Arial" w:hAnsi="Arial" w:cs="Arial"/>
          <w:lang w:val="cs-CZ"/>
        </w:rPr>
        <w:t>Navrhujeme přijmout výše uvedený závěr a vhodným způsobem jej publikovat.</w:t>
      </w:r>
      <w:bookmarkEnd w:id="5"/>
    </w:p>
    <w:p w14:paraId="5433B12A" w14:textId="11BAF950" w:rsidR="003D0B01" w:rsidRPr="003D0B01" w:rsidRDefault="003D0B01" w:rsidP="003D0B01">
      <w:pPr>
        <w:spacing w:before="240"/>
        <w:jc w:val="both"/>
        <w:rPr>
          <w:rFonts w:ascii="Arial" w:hAnsi="Arial" w:cs="Arial"/>
          <w:b/>
          <w:bCs/>
          <w:i/>
          <w:iCs/>
          <w:highlight w:val="cyan"/>
          <w:u w:val="single"/>
          <w:lang w:val="cs-CZ"/>
        </w:rPr>
      </w:pPr>
      <w:r w:rsidRPr="003D0B01">
        <w:rPr>
          <w:rFonts w:ascii="Arial" w:hAnsi="Arial" w:cs="Arial"/>
          <w:b/>
          <w:bCs/>
          <w:i/>
          <w:iCs/>
          <w:highlight w:val="cyan"/>
          <w:u w:val="single"/>
          <w:lang w:val="cs-CZ"/>
        </w:rPr>
        <w:t>Stanovisko GF</w:t>
      </w:r>
      <w:r w:rsidR="00435997">
        <w:rPr>
          <w:rFonts w:ascii="Arial" w:hAnsi="Arial" w:cs="Arial"/>
          <w:b/>
          <w:bCs/>
          <w:i/>
          <w:iCs/>
          <w:highlight w:val="cyan"/>
          <w:u w:val="single"/>
          <w:lang w:val="cs-CZ"/>
        </w:rPr>
        <w:t>Ř:</w:t>
      </w:r>
    </w:p>
    <w:p w14:paraId="26E33435" w14:textId="77777777" w:rsidR="003D0B01" w:rsidRDefault="003D0B01" w:rsidP="003D0B01">
      <w:pPr>
        <w:jc w:val="both"/>
        <w:rPr>
          <w:rFonts w:ascii="Arial" w:hAnsi="Arial" w:cs="Arial"/>
          <w:b/>
          <w:bCs/>
          <w:i/>
          <w:iCs/>
          <w:highlight w:val="cyan"/>
          <w:lang w:val="cs-CZ"/>
        </w:rPr>
      </w:pPr>
    </w:p>
    <w:p w14:paraId="5E20838E" w14:textId="77777777" w:rsidR="003D0B01" w:rsidRPr="006E0A43" w:rsidRDefault="003D0B01" w:rsidP="003D0B01">
      <w:pPr>
        <w:jc w:val="both"/>
        <w:rPr>
          <w:rFonts w:ascii="Arial" w:hAnsi="Arial" w:cs="Arial"/>
          <w:i/>
          <w:iCs/>
          <w:highlight w:val="cyan"/>
          <w:lang w:val="cs-CZ"/>
        </w:rPr>
      </w:pPr>
      <w:r w:rsidRPr="006E0A43">
        <w:rPr>
          <w:rFonts w:ascii="Arial" w:hAnsi="Arial" w:cs="Arial"/>
          <w:i/>
          <w:iCs/>
          <w:highlight w:val="cyan"/>
          <w:lang w:val="cs-CZ"/>
        </w:rPr>
        <w:t>Z textu příspěvku chápeme, že předkladatel se chce ujistit, jakým způsobem se stanoví daňová rezidence podle ZDP u (i) svěřenského fondu založeného podle občanského zákoníku a (</w:t>
      </w:r>
      <w:proofErr w:type="spellStart"/>
      <w:r w:rsidRPr="006E0A43">
        <w:rPr>
          <w:rFonts w:ascii="Arial" w:hAnsi="Arial" w:cs="Arial"/>
          <w:i/>
          <w:iCs/>
          <w:highlight w:val="cyan"/>
          <w:lang w:val="cs-CZ"/>
        </w:rPr>
        <w:t>ii</w:t>
      </w:r>
      <w:proofErr w:type="spellEnd"/>
      <w:r w:rsidRPr="006E0A43">
        <w:rPr>
          <w:rFonts w:ascii="Arial" w:hAnsi="Arial" w:cs="Arial"/>
          <w:i/>
          <w:iCs/>
          <w:highlight w:val="cyan"/>
          <w:lang w:val="cs-CZ"/>
        </w:rPr>
        <w:t xml:space="preserve">) zahraničního trustu, který je ve svých základních právních znacích srovnatelný se svěřenským fondem a je poplatníkem daně z příjmů právnických osob podle § 17 odst. 1 ZDP (dále společně také jen “trust”). Pro účely určení daňového rezidenství podle ZDP je relevantní úprava zakotvená v ZDP, a to konkrétně ustanovení § 17 odst. 3 a odst. 4. Podle § 17 odst. 3 ZDP se považuje za daňového rezidenta České republiky takový poplatník daně z příjmů právnických osob, který má na území České republiky sídlo nebo místo svého vedení (ZDP zavádí pro tento „duální“ test legislativní zkratku „sídlo“ – dále v tomto textu jen „Sídlo dle ZDP“). Kromě toho se má podle předmětného ustanovení za to, že poplatník, který není právnickou osobou a který je založen nebo zřízen podle právních předpisů České republiky, má na území České republiky své Sídlo dle ZDP. </w:t>
      </w:r>
    </w:p>
    <w:p w14:paraId="2063BCA0" w14:textId="77777777" w:rsidR="003D0B01" w:rsidRPr="009E7696" w:rsidRDefault="003D0B01" w:rsidP="003D0B01">
      <w:pPr>
        <w:jc w:val="both"/>
        <w:rPr>
          <w:rFonts w:ascii="Arial" w:hAnsi="Arial" w:cs="Arial"/>
          <w:i/>
          <w:iCs/>
          <w:highlight w:val="yellow"/>
          <w:lang w:val="cs-CZ"/>
        </w:rPr>
      </w:pPr>
    </w:p>
    <w:p w14:paraId="2D47F807" w14:textId="77777777" w:rsidR="003D0B01" w:rsidRPr="006E0A43" w:rsidRDefault="003D0B01" w:rsidP="00CD6AF3">
      <w:pPr>
        <w:jc w:val="both"/>
        <w:rPr>
          <w:rFonts w:ascii="Arial" w:hAnsi="Arial" w:cs="Arial"/>
          <w:i/>
          <w:iCs/>
          <w:highlight w:val="cyan"/>
          <w:lang w:val="cs-CZ"/>
        </w:rPr>
      </w:pPr>
      <w:r w:rsidRPr="006E0A43">
        <w:rPr>
          <w:rFonts w:ascii="Arial" w:hAnsi="Arial" w:cs="Arial"/>
          <w:i/>
          <w:iCs/>
          <w:highlight w:val="cyan"/>
          <w:lang w:val="cs-CZ"/>
        </w:rPr>
        <w:t xml:space="preserve">Svěřenský fond zřízený podle českých právních předpisů sice nemá žádné sídlo, avšak podle fikce v § 17 odst. 3 ZDP se má za to, že má na území České republiky své Sídlo dle ZDP. Svěřenský fond zřízený podle českých právních předpisů tedy je podle ZDP daňovým rezidentem České republiky. V případě zahraničních trustů je situace z právního pohledu obdobná, tj. zahraniční trust typicky nemá žádné sídlo. Na rozdíl od svěřenského fondu však nespadá pod zákonnou fikci Sídla dle ZDP. Z tohoto důvodu souhlasíme se závěrem předkladatele, že při stanovení daňového rezidenství zahraničního trustu se vychází z místa jeho (skutečného) vedení. Přitom platí, že místo skutečného vedení zahraničního trustu je místo, odkud svěřenský správce (tzv. </w:t>
      </w:r>
      <w:proofErr w:type="spellStart"/>
      <w:r w:rsidRPr="006E0A43">
        <w:rPr>
          <w:rFonts w:ascii="Arial" w:hAnsi="Arial" w:cs="Arial"/>
          <w:i/>
          <w:iCs/>
          <w:highlight w:val="cyan"/>
          <w:lang w:val="cs-CZ"/>
        </w:rPr>
        <w:t>trustee</w:t>
      </w:r>
      <w:proofErr w:type="spellEnd"/>
      <w:r w:rsidRPr="006E0A43">
        <w:rPr>
          <w:rFonts w:ascii="Arial" w:hAnsi="Arial" w:cs="Arial"/>
          <w:i/>
          <w:iCs/>
          <w:highlight w:val="cyan"/>
          <w:lang w:val="cs-CZ"/>
        </w:rPr>
        <w:t xml:space="preserve">) spravuje majetek zahraničního trustu. To znamená, že daňové rezidentství </w:t>
      </w:r>
      <w:r w:rsidRPr="006E0A43">
        <w:rPr>
          <w:rFonts w:ascii="Arial" w:hAnsi="Arial" w:cs="Arial"/>
          <w:i/>
          <w:iCs/>
          <w:highlight w:val="cyan"/>
          <w:lang w:val="cs-CZ"/>
        </w:rPr>
        <w:lastRenderedPageBreak/>
        <w:t xml:space="preserve">zahraničního trustu nemusí být shodné s daňovým rezidenstvím </w:t>
      </w:r>
      <w:proofErr w:type="spellStart"/>
      <w:r w:rsidRPr="006E0A43">
        <w:rPr>
          <w:rFonts w:ascii="Arial" w:hAnsi="Arial" w:cs="Arial"/>
          <w:i/>
          <w:iCs/>
          <w:highlight w:val="cyan"/>
          <w:lang w:val="cs-CZ"/>
        </w:rPr>
        <w:t>trusteeho</w:t>
      </w:r>
      <w:proofErr w:type="spellEnd"/>
      <w:r w:rsidRPr="006E0A43">
        <w:rPr>
          <w:rFonts w:ascii="Arial" w:hAnsi="Arial" w:cs="Arial"/>
          <w:i/>
          <w:iCs/>
          <w:highlight w:val="cyan"/>
          <w:lang w:val="cs-CZ"/>
        </w:rPr>
        <w:t>. V praxi lze nicméně očekávat (zejména u rodinných trustů), že tomu tak bude.</w:t>
      </w:r>
    </w:p>
    <w:p w14:paraId="3D02FD55" w14:textId="77777777" w:rsidR="003D0B01" w:rsidRPr="006E0A43" w:rsidRDefault="003D0B01" w:rsidP="00CD6AF3">
      <w:pPr>
        <w:jc w:val="both"/>
        <w:rPr>
          <w:rFonts w:ascii="Arial" w:hAnsi="Arial" w:cs="Arial"/>
          <w:i/>
          <w:iCs/>
          <w:highlight w:val="cyan"/>
          <w:lang w:val="cs-CZ"/>
        </w:rPr>
      </w:pPr>
    </w:p>
    <w:p w14:paraId="36BD8916" w14:textId="77777777" w:rsidR="003D0B01" w:rsidRPr="006E0A43" w:rsidRDefault="003D0B01" w:rsidP="00CD6AF3">
      <w:pPr>
        <w:jc w:val="both"/>
        <w:rPr>
          <w:rFonts w:ascii="Arial" w:hAnsi="Arial" w:cs="Arial"/>
          <w:i/>
          <w:iCs/>
          <w:highlight w:val="cyan"/>
          <w:lang w:val="cs-CZ"/>
        </w:rPr>
      </w:pPr>
      <w:r w:rsidRPr="006E0A43">
        <w:rPr>
          <w:rFonts w:ascii="Arial" w:hAnsi="Arial" w:cs="Arial"/>
          <w:i/>
          <w:iCs/>
          <w:highlight w:val="cyan"/>
          <w:lang w:val="cs-CZ"/>
        </w:rPr>
        <w:t xml:space="preserve">Pokud správce trustu v rámci výkonu své činnosti </w:t>
      </w:r>
      <w:proofErr w:type="gramStart"/>
      <w:r w:rsidRPr="006E0A43">
        <w:rPr>
          <w:rFonts w:ascii="Arial" w:hAnsi="Arial" w:cs="Arial"/>
          <w:i/>
          <w:iCs/>
          <w:highlight w:val="cyan"/>
          <w:lang w:val="cs-CZ"/>
        </w:rPr>
        <w:t>pověří</w:t>
      </w:r>
      <w:proofErr w:type="gramEnd"/>
      <w:r w:rsidRPr="006E0A43">
        <w:rPr>
          <w:rFonts w:ascii="Arial" w:hAnsi="Arial" w:cs="Arial"/>
          <w:i/>
          <w:iCs/>
          <w:highlight w:val="cyan"/>
          <w:lang w:val="cs-CZ"/>
        </w:rPr>
        <w:t xml:space="preserve"> nezávislého správce majetku obhospodařováním majetku trustu, či jeho části (tzv. </w:t>
      </w:r>
      <w:proofErr w:type="spellStart"/>
      <w:r w:rsidRPr="006E0A43">
        <w:rPr>
          <w:rFonts w:ascii="Arial" w:hAnsi="Arial" w:cs="Arial"/>
          <w:i/>
          <w:iCs/>
          <w:highlight w:val="cyan"/>
          <w:lang w:val="cs-CZ"/>
        </w:rPr>
        <w:t>asset</w:t>
      </w:r>
      <w:proofErr w:type="spellEnd"/>
      <w:r w:rsidRPr="006E0A43">
        <w:rPr>
          <w:rFonts w:ascii="Arial" w:hAnsi="Arial" w:cs="Arial"/>
          <w:i/>
          <w:iCs/>
          <w:highlight w:val="cyan"/>
          <w:lang w:val="cs-CZ"/>
        </w:rPr>
        <w:t xml:space="preserve"> management), nemá tato skutečnost vliv na daňovou rezidenci trustu.</w:t>
      </w:r>
    </w:p>
    <w:p w14:paraId="2040D75A" w14:textId="77777777" w:rsidR="003D0B01" w:rsidRPr="006E0A43" w:rsidRDefault="003D0B01" w:rsidP="00CD6AF3">
      <w:pPr>
        <w:jc w:val="both"/>
        <w:rPr>
          <w:rFonts w:ascii="Arial" w:hAnsi="Arial" w:cs="Arial"/>
          <w:i/>
          <w:iCs/>
          <w:highlight w:val="cyan"/>
          <w:lang w:val="cs-CZ"/>
        </w:rPr>
      </w:pPr>
    </w:p>
    <w:p w14:paraId="5DA6DD26" w14:textId="729260AC" w:rsidR="00EA7C29" w:rsidRDefault="003D0B01" w:rsidP="00CD6AF3">
      <w:pPr>
        <w:jc w:val="both"/>
        <w:rPr>
          <w:rFonts w:ascii="Arial" w:hAnsi="Arial" w:cs="Arial"/>
        </w:rPr>
      </w:pPr>
      <w:r w:rsidRPr="006E0A43">
        <w:rPr>
          <w:rFonts w:ascii="Arial" w:hAnsi="Arial" w:cs="Arial"/>
          <w:i/>
          <w:iCs/>
          <w:highlight w:val="cyan"/>
          <w:lang w:val="cs-CZ"/>
        </w:rPr>
        <w:t xml:space="preserve">Pro úplnost dodáváme, že výše uvedené vychází ze základní právní povahy trustu. Konkrétní případy je vždy třeba posuzovat individuálně s přihlédnutím ke konkrétním skutečnostem a okolnostem, například v situaci, kdy v praxi zakladatel fakticky uplatňuje významný vliv na skutečné vedení trustu (aniž by formálně zastával roli svěřenského správce).  </w:t>
      </w:r>
    </w:p>
    <w:sectPr w:rsidR="00EA7C29"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A56E" w14:textId="77777777" w:rsidR="00AA4202" w:rsidRDefault="00AA4202">
      <w:r>
        <w:separator/>
      </w:r>
    </w:p>
  </w:endnote>
  <w:endnote w:type="continuationSeparator" w:id="0">
    <w:p w14:paraId="2B2D8D78" w14:textId="77777777" w:rsidR="00AA4202" w:rsidRDefault="00AA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NoticiaText-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B3D3" w14:textId="06D77E40" w:rsidR="00691E34" w:rsidRPr="0057195C" w:rsidRDefault="00691E34"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A17123">
      <w:rPr>
        <w:noProof/>
        <w:sz w:val="20"/>
        <w:szCs w:val="20"/>
        <w:lang w:val="cs-CZ"/>
      </w:rPr>
      <w:t>22</w:t>
    </w:r>
    <w:r w:rsidRPr="0057195C">
      <w:rPr>
        <w:sz w:val="20"/>
        <w:szCs w:val="20"/>
        <w:lang w:val="cs-CZ"/>
      </w:rPr>
      <w:fldChar w:fldCharType="end"/>
    </w:r>
    <w:r w:rsidR="00207A3D">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A17123">
      <w:rPr>
        <w:noProof/>
        <w:sz w:val="20"/>
        <w:szCs w:val="20"/>
        <w:lang w:val="cs-CZ"/>
      </w:rPr>
      <w:t>22</w:t>
    </w:r>
    <w:r w:rsidRPr="0057195C">
      <w:rPr>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9AF7" w14:textId="77777777" w:rsidR="00AA4202" w:rsidRDefault="00AA4202">
      <w:r>
        <w:separator/>
      </w:r>
    </w:p>
  </w:footnote>
  <w:footnote w:type="continuationSeparator" w:id="0">
    <w:p w14:paraId="3426841F" w14:textId="77777777" w:rsidR="00AA4202" w:rsidRDefault="00AA4202">
      <w:r>
        <w:continuationSeparator/>
      </w:r>
    </w:p>
  </w:footnote>
  <w:footnote w:id="1">
    <w:p w14:paraId="7493A389" w14:textId="77777777" w:rsidR="003D0B01" w:rsidRDefault="003D0B01" w:rsidP="003D0B01">
      <w:pPr>
        <w:pStyle w:val="Textpoznpodarou"/>
      </w:pPr>
      <w:r>
        <w:rPr>
          <w:rStyle w:val="FootnoteCharacters"/>
          <w:rFonts w:eastAsia="SimSun"/>
        </w:rPr>
        <w:footnoteRef/>
      </w:r>
      <w:r>
        <w:t xml:space="preserve"> Z principiálně shodné úvahy vychází též příspěvek č. 377/11.07.12 ve vztahu k investičním fondům.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C06C" w14:textId="04DA59E4" w:rsidR="00691E34" w:rsidRPr="0057195C" w:rsidRDefault="00691E34" w:rsidP="00420FCE">
    <w:pPr>
      <w:pStyle w:val="Zhlav"/>
      <w:pBdr>
        <w:bottom w:val="single" w:sz="4" w:space="1" w:color="auto"/>
      </w:pBdr>
      <w:rPr>
        <w:sz w:val="20"/>
        <w:szCs w:val="20"/>
      </w:rPr>
    </w:pPr>
    <w:r>
      <w:rPr>
        <w:sz w:val="20"/>
        <w:szCs w:val="20"/>
      </w:rPr>
      <w:t>28.</w:t>
    </w:r>
    <w:r w:rsidR="005E4E00">
      <w:rPr>
        <w:sz w:val="20"/>
        <w:szCs w:val="20"/>
      </w:rPr>
      <w:t xml:space="preserve"> </w:t>
    </w:r>
    <w:r>
      <w:rPr>
        <w:sz w:val="20"/>
        <w:szCs w:val="20"/>
      </w:rPr>
      <w:t>11.</w:t>
    </w:r>
    <w:r w:rsidR="005E4E00">
      <w:rPr>
        <w:sz w:val="20"/>
        <w:szCs w:val="20"/>
      </w:rPr>
      <w:t xml:space="preserve"> </w:t>
    </w:r>
    <w:r>
      <w:rPr>
        <w:sz w:val="20"/>
        <w:szCs w:val="20"/>
      </w:rPr>
      <w:t>2023</w:t>
    </w:r>
    <w:r>
      <w:rPr>
        <w:sz w:val="20"/>
        <w:szCs w:val="20"/>
      </w:rPr>
      <w:tab/>
    </w:r>
    <w:r>
      <w:rPr>
        <w:sz w:val="20"/>
        <w:szCs w:val="20"/>
      </w:rPr>
      <w:tab/>
    </w:r>
    <w:r>
      <w:rPr>
        <w:sz w:val="20"/>
        <w:szCs w:val="20"/>
      </w:rPr>
      <w:tab/>
      <w:t xml:space="preserve">Koordinační </w:t>
    </w:r>
    <w:r w:rsidR="005E4E00">
      <w:rPr>
        <w:sz w:val="20"/>
        <w:szCs w:val="20"/>
      </w:rPr>
      <w:t>výbor 11</w:t>
    </w:r>
    <w:r>
      <w:rPr>
        <w:sz w:val="20"/>
        <w:szCs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AC02CD"/>
    <w:multiLevelType w:val="hybridMultilevel"/>
    <w:tmpl w:val="5238B144"/>
    <w:lvl w:ilvl="0" w:tplc="D0E204D8">
      <w:start w:val="1"/>
      <w:numFmt w:val="decimal"/>
      <w:lvlText w:val="%1)"/>
      <w:lvlJc w:val="left"/>
      <w:pPr>
        <w:ind w:left="1110" w:hanging="3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D80F03"/>
    <w:multiLevelType w:val="hybridMultilevel"/>
    <w:tmpl w:val="C6E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EC1C19"/>
    <w:multiLevelType w:val="hybridMultilevel"/>
    <w:tmpl w:val="C2C817A0"/>
    <w:lvl w:ilvl="0" w:tplc="1038718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7"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A5A5D4E"/>
    <w:multiLevelType w:val="hybridMultilevel"/>
    <w:tmpl w:val="88CEE3E6"/>
    <w:lvl w:ilvl="0" w:tplc="7DFCCD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0E3949C1"/>
    <w:multiLevelType w:val="hybridMultilevel"/>
    <w:tmpl w:val="4888D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7BE0A62"/>
    <w:multiLevelType w:val="hybridMultilevel"/>
    <w:tmpl w:val="E0F80D76"/>
    <w:lvl w:ilvl="0" w:tplc="5338FD8C">
      <w:start w:val="247"/>
      <w:numFmt w:val="bullet"/>
      <w:lvlText w:val="-"/>
      <w:lvlJc w:val="left"/>
      <w:pPr>
        <w:ind w:left="1146" w:hanging="360"/>
      </w:pPr>
      <w:rPr>
        <w:rFonts w:ascii="Cambria" w:eastAsia="Times New Roman" w:hAnsi="Cambria"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7" w15:restartNumberingAfterBreak="0">
    <w:nsid w:val="1DFD35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103D2D"/>
    <w:multiLevelType w:val="hybridMultilevel"/>
    <w:tmpl w:val="5158EC4C"/>
    <w:lvl w:ilvl="0" w:tplc="22BA9ADE">
      <w:start w:val="1"/>
      <w:numFmt w:val="decimal"/>
      <w:lvlText w:val="[%1]"/>
      <w:lvlJc w:val="left"/>
      <w:pPr>
        <w:ind w:left="360" w:hanging="360"/>
      </w:pPr>
      <w:rPr>
        <w:rFonts w:hint="default"/>
        <w:b w:val="0"/>
        <w:bCs w:val="0"/>
        <w:i w:val="0"/>
        <w:iCs w:val="0"/>
      </w:rPr>
    </w:lvl>
    <w:lvl w:ilvl="1" w:tplc="0405001B">
      <w:start w:val="1"/>
      <w:numFmt w:val="lowerRoman"/>
      <w:lvlText w:val="%2."/>
      <w:lvlJc w:val="righ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7A402F6"/>
    <w:multiLevelType w:val="hybridMultilevel"/>
    <w:tmpl w:val="5874B89E"/>
    <w:lvl w:ilvl="0" w:tplc="CF4653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6" w15:restartNumberingAfterBreak="0">
    <w:nsid w:val="39CF069E"/>
    <w:multiLevelType w:val="hybridMultilevel"/>
    <w:tmpl w:val="B95ED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F820B2"/>
    <w:multiLevelType w:val="hybridMultilevel"/>
    <w:tmpl w:val="1D70AEEE"/>
    <w:lvl w:ilvl="0" w:tplc="5338FD8C">
      <w:start w:val="247"/>
      <w:numFmt w:val="bullet"/>
      <w:lvlText w:val="-"/>
      <w:lvlJc w:val="left"/>
      <w:pPr>
        <w:ind w:left="720" w:hanging="360"/>
      </w:pPr>
      <w:rPr>
        <w:rFonts w:ascii="Cambria" w:eastAsia="Times New Roman" w:hAnsi="Cambri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3E934B8B"/>
    <w:multiLevelType w:val="multilevel"/>
    <w:tmpl w:val="FFFFFFFF"/>
    <w:lvl w:ilvl="0">
      <w:start w:val="1"/>
      <w:numFmt w:val="decimal"/>
      <w:pStyle w:val="Dvodovzprvakbodu"/>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A47B66"/>
    <w:multiLevelType w:val="hybridMultilevel"/>
    <w:tmpl w:val="752EFA44"/>
    <w:lvl w:ilvl="0" w:tplc="E3468E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15:restartNumberingAfterBreak="0">
    <w:nsid w:val="4AE858E9"/>
    <w:multiLevelType w:val="hybridMultilevel"/>
    <w:tmpl w:val="D1484DFC"/>
    <w:lvl w:ilvl="0" w:tplc="DC8687B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5" w15:restartNumberingAfterBreak="0">
    <w:nsid w:val="563F6FA8"/>
    <w:multiLevelType w:val="hybridMultilevel"/>
    <w:tmpl w:val="3FD2ADAC"/>
    <w:lvl w:ilvl="0" w:tplc="22BA9ADE">
      <w:start w:val="1"/>
      <w:numFmt w:val="decimal"/>
      <w:lvlText w:val="[%1]"/>
      <w:lvlJc w:val="left"/>
      <w:pPr>
        <w:ind w:left="2082" w:hanging="360"/>
      </w:pPr>
      <w:rPr>
        <w:rFonts w:hint="default"/>
        <w:b w:val="0"/>
        <w:bCs w:val="0"/>
        <w:i w:val="0"/>
        <w:iCs w:val="0"/>
      </w:rPr>
    </w:lvl>
    <w:lvl w:ilvl="1" w:tplc="04050019">
      <w:start w:val="1"/>
      <w:numFmt w:val="lowerLetter"/>
      <w:lvlText w:val="%2."/>
      <w:lvlJc w:val="left"/>
      <w:pPr>
        <w:ind w:left="2802" w:hanging="360"/>
      </w:pPr>
    </w:lvl>
    <w:lvl w:ilvl="2" w:tplc="0405001B">
      <w:start w:val="1"/>
      <w:numFmt w:val="lowerRoman"/>
      <w:lvlText w:val="%3."/>
      <w:lvlJc w:val="right"/>
      <w:pPr>
        <w:ind w:left="3522" w:hanging="180"/>
      </w:pPr>
    </w:lvl>
    <w:lvl w:ilvl="3" w:tplc="0405000F" w:tentative="1">
      <w:start w:val="1"/>
      <w:numFmt w:val="decimal"/>
      <w:lvlText w:val="%4."/>
      <w:lvlJc w:val="left"/>
      <w:pPr>
        <w:ind w:left="4242" w:hanging="360"/>
      </w:pPr>
    </w:lvl>
    <w:lvl w:ilvl="4" w:tplc="04050019" w:tentative="1">
      <w:start w:val="1"/>
      <w:numFmt w:val="lowerLetter"/>
      <w:lvlText w:val="%5."/>
      <w:lvlJc w:val="left"/>
      <w:pPr>
        <w:ind w:left="4962" w:hanging="360"/>
      </w:pPr>
    </w:lvl>
    <w:lvl w:ilvl="5" w:tplc="0405001B" w:tentative="1">
      <w:start w:val="1"/>
      <w:numFmt w:val="lowerRoman"/>
      <w:lvlText w:val="%6."/>
      <w:lvlJc w:val="right"/>
      <w:pPr>
        <w:ind w:left="5682" w:hanging="180"/>
      </w:pPr>
    </w:lvl>
    <w:lvl w:ilvl="6" w:tplc="0405000F" w:tentative="1">
      <w:start w:val="1"/>
      <w:numFmt w:val="decimal"/>
      <w:lvlText w:val="%7."/>
      <w:lvlJc w:val="left"/>
      <w:pPr>
        <w:ind w:left="6402" w:hanging="360"/>
      </w:pPr>
    </w:lvl>
    <w:lvl w:ilvl="7" w:tplc="04050019" w:tentative="1">
      <w:start w:val="1"/>
      <w:numFmt w:val="lowerLetter"/>
      <w:lvlText w:val="%8."/>
      <w:lvlJc w:val="left"/>
      <w:pPr>
        <w:ind w:left="7122" w:hanging="360"/>
      </w:pPr>
    </w:lvl>
    <w:lvl w:ilvl="8" w:tplc="0405001B" w:tentative="1">
      <w:start w:val="1"/>
      <w:numFmt w:val="lowerRoman"/>
      <w:lvlText w:val="%9."/>
      <w:lvlJc w:val="right"/>
      <w:pPr>
        <w:ind w:left="7842" w:hanging="180"/>
      </w:pPr>
    </w:lvl>
  </w:abstractNum>
  <w:abstractNum w:abstractNumId="36" w15:restartNumberingAfterBreak="0">
    <w:nsid w:val="56DA3429"/>
    <w:multiLevelType w:val="hybridMultilevel"/>
    <w:tmpl w:val="ED100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588B2032"/>
    <w:multiLevelType w:val="hybridMultilevel"/>
    <w:tmpl w:val="94D07888"/>
    <w:lvl w:ilvl="0" w:tplc="5338FD8C">
      <w:start w:val="247"/>
      <w:numFmt w:val="bullet"/>
      <w:lvlText w:val="-"/>
      <w:lvlJc w:val="left"/>
      <w:pPr>
        <w:ind w:left="780" w:hanging="360"/>
      </w:pPr>
      <w:rPr>
        <w:rFonts w:ascii="Cambria" w:eastAsia="Times New Roman" w:hAnsi="Cambria"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58FB4BB5"/>
    <w:multiLevelType w:val="hybridMultilevel"/>
    <w:tmpl w:val="61F8C01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5957244E"/>
    <w:multiLevelType w:val="multilevel"/>
    <w:tmpl w:val="B64E4EEC"/>
    <w:lvl w:ilvl="0">
      <w:numFmt w:val="decimal"/>
      <w:pStyle w:val="Nadpis1"/>
      <w:lvlText w:val="%1."/>
      <w:lvlJc w:val="left"/>
      <w:pPr>
        <w:ind w:left="9204" w:firstLine="0"/>
      </w:pPr>
      <w:rPr>
        <w:rFonts w:hint="default"/>
        <w:b/>
        <w:i w:val="0"/>
        <w:sz w:val="28"/>
      </w:rPr>
    </w:lvl>
    <w:lvl w:ilvl="1">
      <w:start w:val="1"/>
      <w:numFmt w:val="decimal"/>
      <w:pStyle w:val="Nadpis2"/>
      <w:lvlText w:val="%1.%2."/>
      <w:lvlJc w:val="left"/>
      <w:pPr>
        <w:ind w:left="5660" w:firstLine="0"/>
      </w:pPr>
      <w:rPr>
        <w:rFonts w:hint="default"/>
        <w:b/>
        <w:i/>
        <w:sz w:val="24"/>
      </w:rPr>
    </w:lvl>
    <w:lvl w:ilvl="2">
      <w:start w:val="1"/>
      <w:numFmt w:val="decimal"/>
      <w:pStyle w:val="Nadpis3"/>
      <w:lvlText w:val="%1.%2.%3."/>
      <w:lvlJc w:val="left"/>
      <w:pPr>
        <w:ind w:left="1356" w:hanging="504"/>
      </w:pPr>
      <w:rPr>
        <w:rFonts w:hint="default"/>
        <w:b/>
        <w:i w:val="0"/>
        <w:sz w:val="20"/>
      </w:rPr>
    </w:lvl>
    <w:lvl w:ilvl="3">
      <w:start w:val="1"/>
      <w:numFmt w:val="bullet"/>
      <w:lvlText w:val=""/>
      <w:lvlJc w:val="left"/>
      <w:pPr>
        <w:ind w:left="1860" w:hanging="648"/>
      </w:pPr>
      <w:rPr>
        <w:rFonts w:ascii="Symbol" w:hAnsi="Symbol" w:hint="default"/>
      </w:rPr>
    </w:lvl>
    <w:lvl w:ilvl="4">
      <w:start w:val="1"/>
      <w:numFmt w:val="bullet"/>
      <w:lvlText w:val=""/>
      <w:lvlJc w:val="left"/>
      <w:pPr>
        <w:ind w:left="2364" w:hanging="792"/>
      </w:pPr>
      <w:rPr>
        <w:rFonts w:ascii="Symbol" w:hAnsi="Symbol" w:hint="default"/>
      </w:rPr>
    </w:lvl>
    <w:lvl w:ilvl="5">
      <w:start w:val="1"/>
      <w:numFmt w:val="decimal"/>
      <w:lvlText w:val="%1.%2.%3.%4.%5.%6."/>
      <w:lvlJc w:val="left"/>
      <w:pPr>
        <w:ind w:left="2868" w:hanging="936"/>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3876" w:hanging="1224"/>
      </w:pPr>
      <w:rPr>
        <w:rFonts w:hint="default"/>
      </w:rPr>
    </w:lvl>
    <w:lvl w:ilvl="8">
      <w:start w:val="1"/>
      <w:numFmt w:val="decimal"/>
      <w:lvlText w:val="%1.%2.%3.%4.%5.%6.%7.%8.%9."/>
      <w:lvlJc w:val="left"/>
      <w:pPr>
        <w:ind w:left="4452" w:hanging="1440"/>
      </w:pPr>
      <w:rPr>
        <w:rFonts w:hint="default"/>
      </w:rPr>
    </w:lvl>
  </w:abstractNum>
  <w:abstractNum w:abstractNumId="41" w15:restartNumberingAfterBreak="0">
    <w:nsid w:val="5A900E26"/>
    <w:multiLevelType w:val="hybridMultilevel"/>
    <w:tmpl w:val="F6C81E88"/>
    <w:lvl w:ilvl="0" w:tplc="37A65A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5DE263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8144A3"/>
    <w:multiLevelType w:val="multilevel"/>
    <w:tmpl w:val="E7DC8A70"/>
    <w:lvl w:ilvl="0">
      <w:start w:val="1"/>
      <w:numFmt w:val="decimal"/>
      <w:lvlText w:val="%1."/>
      <w:lvlJc w:val="left"/>
      <w:pPr>
        <w:tabs>
          <w:tab w:val="num" w:pos="1276"/>
        </w:tabs>
        <w:ind w:left="1276"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lowerLetter"/>
      <w:lvlText w:val="(%4)"/>
      <w:lvlJc w:val="left"/>
      <w:pPr>
        <w:tabs>
          <w:tab w:val="num" w:pos="1701"/>
        </w:tabs>
        <w:ind w:left="1701" w:hanging="567"/>
      </w:pPr>
    </w:lvl>
    <w:lvl w:ilvl="4">
      <w:start w:val="1"/>
      <w:numFmt w:val="lowerRoman"/>
      <w:lvlText w:val="(%5)"/>
      <w:lvlJc w:val="left"/>
      <w:pPr>
        <w:tabs>
          <w:tab w:val="num" w:pos="2438"/>
        </w:tabs>
        <w:ind w:left="2438" w:hanging="73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9" w15:restartNumberingAfterBreak="0">
    <w:nsid w:val="66F171C4"/>
    <w:multiLevelType w:val="hybridMultilevel"/>
    <w:tmpl w:val="3AE8637C"/>
    <w:lvl w:ilvl="0" w:tplc="FFFFFFFF">
      <w:start w:val="1"/>
      <w:numFmt w:val="decimal"/>
      <w:lvlText w:val="[%1]"/>
      <w:lvlJc w:val="left"/>
      <w:pPr>
        <w:ind w:left="2082" w:hanging="360"/>
      </w:pPr>
      <w:rPr>
        <w:rFonts w:hint="default"/>
        <w:b w:val="0"/>
        <w:bCs w:val="0"/>
      </w:rPr>
    </w:lvl>
    <w:lvl w:ilvl="1" w:tplc="04050017">
      <w:start w:val="1"/>
      <w:numFmt w:val="lowerLetter"/>
      <w:lvlText w:val="%2)"/>
      <w:lvlJc w:val="left"/>
      <w:pPr>
        <w:ind w:left="2802" w:hanging="360"/>
      </w:pPr>
    </w:lvl>
    <w:lvl w:ilvl="2" w:tplc="FFFFFFFF">
      <w:start w:val="1"/>
      <w:numFmt w:val="lowerRoman"/>
      <w:lvlText w:val="%3."/>
      <w:lvlJc w:val="right"/>
      <w:pPr>
        <w:ind w:left="3522" w:hanging="180"/>
      </w:pPr>
    </w:lvl>
    <w:lvl w:ilvl="3" w:tplc="FFFFFFFF" w:tentative="1">
      <w:start w:val="1"/>
      <w:numFmt w:val="decimal"/>
      <w:lvlText w:val="%4."/>
      <w:lvlJc w:val="left"/>
      <w:pPr>
        <w:ind w:left="4242" w:hanging="360"/>
      </w:pPr>
    </w:lvl>
    <w:lvl w:ilvl="4" w:tplc="FFFFFFFF" w:tentative="1">
      <w:start w:val="1"/>
      <w:numFmt w:val="lowerLetter"/>
      <w:lvlText w:val="%5."/>
      <w:lvlJc w:val="left"/>
      <w:pPr>
        <w:ind w:left="4962" w:hanging="360"/>
      </w:pPr>
    </w:lvl>
    <w:lvl w:ilvl="5" w:tplc="FFFFFFFF" w:tentative="1">
      <w:start w:val="1"/>
      <w:numFmt w:val="lowerRoman"/>
      <w:lvlText w:val="%6."/>
      <w:lvlJc w:val="right"/>
      <w:pPr>
        <w:ind w:left="5682" w:hanging="180"/>
      </w:pPr>
    </w:lvl>
    <w:lvl w:ilvl="6" w:tplc="FFFFFFFF" w:tentative="1">
      <w:start w:val="1"/>
      <w:numFmt w:val="decimal"/>
      <w:lvlText w:val="%7."/>
      <w:lvlJc w:val="left"/>
      <w:pPr>
        <w:ind w:left="6402" w:hanging="360"/>
      </w:pPr>
    </w:lvl>
    <w:lvl w:ilvl="7" w:tplc="FFFFFFFF" w:tentative="1">
      <w:start w:val="1"/>
      <w:numFmt w:val="lowerLetter"/>
      <w:lvlText w:val="%8."/>
      <w:lvlJc w:val="left"/>
      <w:pPr>
        <w:ind w:left="7122" w:hanging="360"/>
      </w:pPr>
    </w:lvl>
    <w:lvl w:ilvl="8" w:tplc="FFFFFFFF" w:tentative="1">
      <w:start w:val="1"/>
      <w:numFmt w:val="lowerRoman"/>
      <w:lvlText w:val="%9."/>
      <w:lvlJc w:val="right"/>
      <w:pPr>
        <w:ind w:left="7842" w:hanging="180"/>
      </w:pPr>
    </w:lvl>
  </w:abstractNum>
  <w:abstractNum w:abstractNumId="50" w15:restartNumberingAfterBreak="0">
    <w:nsid w:val="681E17F8"/>
    <w:multiLevelType w:val="multilevel"/>
    <w:tmpl w:val="785E0E8C"/>
    <w:lvl w:ilvl="0">
      <w:start w:val="1"/>
      <w:numFmt w:val="decimal"/>
      <w:lvlText w:val="%1."/>
      <w:lvlJc w:val="left"/>
      <w:pPr>
        <w:tabs>
          <w:tab w:val="num" w:pos="720"/>
        </w:tabs>
        <w:ind w:left="720" w:hanging="720"/>
      </w:pPr>
      <w:rPr>
        <w:rFonts w:hint="default"/>
      </w:rPr>
    </w:lvl>
    <w:lvl w:ilvl="1">
      <w:start w:val="1"/>
      <w:numFmt w:val="upperLetter"/>
      <w:lvlText w:val="%2."/>
      <w:lvlJc w:val="left"/>
      <w:pPr>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3" w15:restartNumberingAfterBreak="0">
    <w:nsid w:val="6AB03D2B"/>
    <w:multiLevelType w:val="hybridMultilevel"/>
    <w:tmpl w:val="C5340DC2"/>
    <w:lvl w:ilvl="0" w:tplc="04050001">
      <w:start w:val="1"/>
      <w:numFmt w:val="bullet"/>
      <w:lvlText w:val=""/>
      <w:lvlJc w:val="left"/>
      <w:pPr>
        <w:ind w:left="1484" w:hanging="360"/>
      </w:pPr>
      <w:rPr>
        <w:rFonts w:ascii="Symbol" w:hAnsi="Symbol" w:hint="default"/>
      </w:rPr>
    </w:lvl>
    <w:lvl w:ilvl="1" w:tplc="04050003" w:tentative="1">
      <w:start w:val="1"/>
      <w:numFmt w:val="bullet"/>
      <w:lvlText w:val="o"/>
      <w:lvlJc w:val="left"/>
      <w:pPr>
        <w:ind w:left="2204" w:hanging="360"/>
      </w:pPr>
      <w:rPr>
        <w:rFonts w:ascii="Courier New" w:hAnsi="Courier New" w:hint="default"/>
      </w:rPr>
    </w:lvl>
    <w:lvl w:ilvl="2" w:tplc="04050005" w:tentative="1">
      <w:start w:val="1"/>
      <w:numFmt w:val="bullet"/>
      <w:lvlText w:val=""/>
      <w:lvlJc w:val="left"/>
      <w:pPr>
        <w:ind w:left="2924" w:hanging="360"/>
      </w:pPr>
      <w:rPr>
        <w:rFonts w:ascii="Wingdings" w:hAnsi="Wingdings" w:hint="default"/>
      </w:rPr>
    </w:lvl>
    <w:lvl w:ilvl="3" w:tplc="04050001" w:tentative="1">
      <w:start w:val="1"/>
      <w:numFmt w:val="bullet"/>
      <w:lvlText w:val=""/>
      <w:lvlJc w:val="left"/>
      <w:pPr>
        <w:ind w:left="3644" w:hanging="360"/>
      </w:pPr>
      <w:rPr>
        <w:rFonts w:ascii="Symbol" w:hAnsi="Symbol" w:hint="default"/>
      </w:rPr>
    </w:lvl>
    <w:lvl w:ilvl="4" w:tplc="04050003" w:tentative="1">
      <w:start w:val="1"/>
      <w:numFmt w:val="bullet"/>
      <w:lvlText w:val="o"/>
      <w:lvlJc w:val="left"/>
      <w:pPr>
        <w:ind w:left="4364" w:hanging="360"/>
      </w:pPr>
      <w:rPr>
        <w:rFonts w:ascii="Courier New" w:hAnsi="Courier New" w:hint="default"/>
      </w:rPr>
    </w:lvl>
    <w:lvl w:ilvl="5" w:tplc="04050005" w:tentative="1">
      <w:start w:val="1"/>
      <w:numFmt w:val="bullet"/>
      <w:lvlText w:val=""/>
      <w:lvlJc w:val="left"/>
      <w:pPr>
        <w:ind w:left="5084" w:hanging="360"/>
      </w:pPr>
      <w:rPr>
        <w:rFonts w:ascii="Wingdings" w:hAnsi="Wingdings" w:hint="default"/>
      </w:rPr>
    </w:lvl>
    <w:lvl w:ilvl="6" w:tplc="04050001" w:tentative="1">
      <w:start w:val="1"/>
      <w:numFmt w:val="bullet"/>
      <w:lvlText w:val=""/>
      <w:lvlJc w:val="left"/>
      <w:pPr>
        <w:ind w:left="5804" w:hanging="360"/>
      </w:pPr>
      <w:rPr>
        <w:rFonts w:ascii="Symbol" w:hAnsi="Symbol" w:hint="default"/>
      </w:rPr>
    </w:lvl>
    <w:lvl w:ilvl="7" w:tplc="04050003" w:tentative="1">
      <w:start w:val="1"/>
      <w:numFmt w:val="bullet"/>
      <w:lvlText w:val="o"/>
      <w:lvlJc w:val="left"/>
      <w:pPr>
        <w:ind w:left="6524" w:hanging="360"/>
      </w:pPr>
      <w:rPr>
        <w:rFonts w:ascii="Courier New" w:hAnsi="Courier New" w:hint="default"/>
      </w:rPr>
    </w:lvl>
    <w:lvl w:ilvl="8" w:tplc="04050005" w:tentative="1">
      <w:start w:val="1"/>
      <w:numFmt w:val="bullet"/>
      <w:lvlText w:val=""/>
      <w:lvlJc w:val="left"/>
      <w:pPr>
        <w:ind w:left="7244" w:hanging="360"/>
      </w:pPr>
      <w:rPr>
        <w:rFonts w:ascii="Wingdings" w:hAnsi="Wingdings" w:hint="default"/>
      </w:rPr>
    </w:lvl>
  </w:abstractNum>
  <w:abstractNum w:abstractNumId="54" w15:restartNumberingAfterBreak="0">
    <w:nsid w:val="6B5A1BA2"/>
    <w:multiLevelType w:val="hybridMultilevel"/>
    <w:tmpl w:val="D410F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56" w15:restartNumberingAfterBreak="0">
    <w:nsid w:val="72A274AF"/>
    <w:multiLevelType w:val="hybridMultilevel"/>
    <w:tmpl w:val="E76EE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5213DEB"/>
    <w:multiLevelType w:val="hybridMultilevel"/>
    <w:tmpl w:val="C324B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5242E40"/>
    <w:multiLevelType w:val="multilevel"/>
    <w:tmpl w:val="C46ACDC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A513FA"/>
    <w:multiLevelType w:val="hybridMultilevel"/>
    <w:tmpl w:val="CA40B7B2"/>
    <w:lvl w:ilvl="0" w:tplc="03BED7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903050">
    <w:abstractNumId w:val="21"/>
  </w:num>
  <w:num w:numId="2" w16cid:durableId="1360428448">
    <w:abstractNumId w:val="7"/>
  </w:num>
  <w:num w:numId="3" w16cid:durableId="869956517">
    <w:abstractNumId w:val="22"/>
  </w:num>
  <w:num w:numId="4" w16cid:durableId="1586256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649628">
    <w:abstractNumId w:val="16"/>
  </w:num>
  <w:num w:numId="6" w16cid:durableId="145317008">
    <w:abstractNumId w:val="52"/>
  </w:num>
  <w:num w:numId="7" w16cid:durableId="1534343402">
    <w:abstractNumId w:val="28"/>
  </w:num>
  <w:num w:numId="8" w16cid:durableId="1650329475">
    <w:abstractNumId w:val="8"/>
  </w:num>
  <w:num w:numId="9" w16cid:durableId="546768824">
    <w:abstractNumId w:val="14"/>
  </w:num>
  <w:num w:numId="10" w16cid:durableId="831724618">
    <w:abstractNumId w:val="46"/>
  </w:num>
  <w:num w:numId="11" w16cid:durableId="1025908289">
    <w:abstractNumId w:val="48"/>
  </w:num>
  <w:num w:numId="12" w16cid:durableId="872427364">
    <w:abstractNumId w:val="47"/>
  </w:num>
  <w:num w:numId="13" w16cid:durableId="1133213305">
    <w:abstractNumId w:val="24"/>
  </w:num>
  <w:num w:numId="14" w16cid:durableId="305473198">
    <w:abstractNumId w:val="51"/>
  </w:num>
  <w:num w:numId="15" w16cid:durableId="831336847">
    <w:abstractNumId w:val="11"/>
  </w:num>
  <w:num w:numId="16" w16cid:durableId="816992370">
    <w:abstractNumId w:val="37"/>
  </w:num>
  <w:num w:numId="17" w16cid:durableId="597177695">
    <w:abstractNumId w:val="42"/>
  </w:num>
  <w:num w:numId="18" w16cid:durableId="593368337">
    <w:abstractNumId w:val="45"/>
  </w:num>
  <w:num w:numId="19" w16cid:durableId="1813331972">
    <w:abstractNumId w:val="23"/>
  </w:num>
  <w:num w:numId="20" w16cid:durableId="1019310147">
    <w:abstractNumId w:val="13"/>
  </w:num>
  <w:num w:numId="21" w16cid:durableId="780294900">
    <w:abstractNumId w:val="32"/>
  </w:num>
  <w:num w:numId="22" w16cid:durableId="285042402">
    <w:abstractNumId w:val="34"/>
  </w:num>
  <w:num w:numId="23" w16cid:durableId="1915311846">
    <w:abstractNumId w:val="4"/>
  </w:num>
  <w:num w:numId="24" w16cid:durableId="278606466">
    <w:abstractNumId w:val="0"/>
  </w:num>
  <w:num w:numId="25" w16cid:durableId="1320042321">
    <w:abstractNumId w:val="60"/>
  </w:num>
  <w:num w:numId="26" w16cid:durableId="2110659649">
    <w:abstractNumId w:val="10"/>
  </w:num>
  <w:num w:numId="27" w16cid:durableId="1521549477">
    <w:abstractNumId w:val="30"/>
  </w:num>
  <w:num w:numId="28" w16cid:durableId="1431898375">
    <w:abstractNumId w:val="40"/>
  </w:num>
  <w:num w:numId="29" w16cid:durableId="1756047377">
    <w:abstractNumId w:val="9"/>
  </w:num>
  <w:num w:numId="30" w16cid:durableId="1343698638">
    <w:abstractNumId w:val="29"/>
  </w:num>
  <w:num w:numId="31" w16cid:durableId="1097560789">
    <w:abstractNumId w:val="3"/>
  </w:num>
  <w:num w:numId="32" w16cid:durableId="665087024">
    <w:abstractNumId w:val="19"/>
  </w:num>
  <w:num w:numId="33" w16cid:durableId="416483079">
    <w:abstractNumId w:val="58"/>
  </w:num>
  <w:num w:numId="34" w16cid:durableId="1236161346">
    <w:abstractNumId w:val="54"/>
  </w:num>
  <w:num w:numId="35" w16cid:durableId="1623459618">
    <w:abstractNumId w:val="36"/>
  </w:num>
  <w:num w:numId="36" w16cid:durableId="799028865">
    <w:abstractNumId w:val="35"/>
  </w:num>
  <w:num w:numId="37" w16cid:durableId="461315766">
    <w:abstractNumId w:val="53"/>
  </w:num>
  <w:num w:numId="38" w16cid:durableId="468741782">
    <w:abstractNumId w:val="50"/>
  </w:num>
  <w:num w:numId="39" w16cid:durableId="1806965364">
    <w:abstractNumId w:val="39"/>
  </w:num>
  <w:num w:numId="40" w16cid:durableId="1081951068">
    <w:abstractNumId w:val="49"/>
  </w:num>
  <w:num w:numId="41" w16cid:durableId="40709701">
    <w:abstractNumId w:val="57"/>
  </w:num>
  <w:num w:numId="42" w16cid:durableId="1431199305">
    <w:abstractNumId w:val="18"/>
  </w:num>
  <w:num w:numId="43" w16cid:durableId="152647087">
    <w:abstractNumId w:val="38"/>
  </w:num>
  <w:num w:numId="44" w16cid:durableId="1518347714">
    <w:abstractNumId w:val="27"/>
  </w:num>
  <w:num w:numId="45" w16cid:durableId="1909613453">
    <w:abstractNumId w:val="15"/>
  </w:num>
  <w:num w:numId="46" w16cid:durableId="2118016058">
    <w:abstractNumId w:val="33"/>
  </w:num>
  <w:num w:numId="47" w16cid:durableId="68968396">
    <w:abstractNumId w:val="43"/>
  </w:num>
  <w:num w:numId="48" w16cid:durableId="149291942">
    <w:abstractNumId w:val="1"/>
  </w:num>
  <w:num w:numId="49" w16cid:durableId="1945069401">
    <w:abstractNumId w:val="44"/>
  </w:num>
  <w:num w:numId="50" w16cid:durableId="940265114">
    <w:abstractNumId w:val="59"/>
  </w:num>
  <w:num w:numId="51" w16cid:durableId="371343188">
    <w:abstractNumId w:val="56"/>
  </w:num>
  <w:num w:numId="52" w16cid:durableId="877471829">
    <w:abstractNumId w:val="26"/>
  </w:num>
  <w:num w:numId="53" w16cid:durableId="1152016302">
    <w:abstractNumId w:val="41"/>
  </w:num>
  <w:num w:numId="54" w16cid:durableId="1472937631">
    <w:abstractNumId w:val="17"/>
  </w:num>
  <w:num w:numId="55" w16cid:durableId="1207327112">
    <w:abstractNumId w:val="31"/>
  </w:num>
  <w:num w:numId="56" w16cid:durableId="1163619568">
    <w:abstractNumId w:val="5"/>
  </w:num>
  <w:num w:numId="57" w16cid:durableId="1144154446">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4EB1"/>
    <w:rsid w:val="000360A0"/>
    <w:rsid w:val="00037D33"/>
    <w:rsid w:val="000410E2"/>
    <w:rsid w:val="00041ADD"/>
    <w:rsid w:val="00042B68"/>
    <w:rsid w:val="00045FD2"/>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801C6"/>
    <w:rsid w:val="000805C1"/>
    <w:rsid w:val="00086036"/>
    <w:rsid w:val="000906AA"/>
    <w:rsid w:val="000929DA"/>
    <w:rsid w:val="00094281"/>
    <w:rsid w:val="0009712C"/>
    <w:rsid w:val="000972F3"/>
    <w:rsid w:val="00097FA7"/>
    <w:rsid w:val="000A1E44"/>
    <w:rsid w:val="000A224D"/>
    <w:rsid w:val="000A2C41"/>
    <w:rsid w:val="000A3D68"/>
    <w:rsid w:val="000A4D55"/>
    <w:rsid w:val="000A4ED1"/>
    <w:rsid w:val="000A6294"/>
    <w:rsid w:val="000A6DE8"/>
    <w:rsid w:val="000A76FE"/>
    <w:rsid w:val="000B2570"/>
    <w:rsid w:val="000B3326"/>
    <w:rsid w:val="000B36C5"/>
    <w:rsid w:val="000B5510"/>
    <w:rsid w:val="000B6488"/>
    <w:rsid w:val="000C1028"/>
    <w:rsid w:val="000C3DD3"/>
    <w:rsid w:val="000C41C2"/>
    <w:rsid w:val="000C43BD"/>
    <w:rsid w:val="000C44B1"/>
    <w:rsid w:val="000C714D"/>
    <w:rsid w:val="000D3F3D"/>
    <w:rsid w:val="000D578D"/>
    <w:rsid w:val="000D7F4F"/>
    <w:rsid w:val="000E0340"/>
    <w:rsid w:val="000E2089"/>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28C6"/>
    <w:rsid w:val="001775B0"/>
    <w:rsid w:val="0018112D"/>
    <w:rsid w:val="0018327B"/>
    <w:rsid w:val="001848DC"/>
    <w:rsid w:val="00184A6E"/>
    <w:rsid w:val="0018665D"/>
    <w:rsid w:val="00186FC0"/>
    <w:rsid w:val="00187625"/>
    <w:rsid w:val="00191EF4"/>
    <w:rsid w:val="00192C85"/>
    <w:rsid w:val="00195FB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56C0"/>
    <w:rsid w:val="001E62E0"/>
    <w:rsid w:val="001E658E"/>
    <w:rsid w:val="001E7210"/>
    <w:rsid w:val="001F4017"/>
    <w:rsid w:val="001F40DB"/>
    <w:rsid w:val="002007B4"/>
    <w:rsid w:val="00202088"/>
    <w:rsid w:val="00203388"/>
    <w:rsid w:val="00204FA5"/>
    <w:rsid w:val="0020614A"/>
    <w:rsid w:val="002072D2"/>
    <w:rsid w:val="00207A3D"/>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3E1C"/>
    <w:rsid w:val="002544DA"/>
    <w:rsid w:val="00255107"/>
    <w:rsid w:val="00261C75"/>
    <w:rsid w:val="00263379"/>
    <w:rsid w:val="0026354A"/>
    <w:rsid w:val="00263A0A"/>
    <w:rsid w:val="00264D06"/>
    <w:rsid w:val="00267BAA"/>
    <w:rsid w:val="00271DE2"/>
    <w:rsid w:val="00272C1C"/>
    <w:rsid w:val="00273708"/>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C38"/>
    <w:rsid w:val="00301DE9"/>
    <w:rsid w:val="00302C76"/>
    <w:rsid w:val="00303CFF"/>
    <w:rsid w:val="0030514B"/>
    <w:rsid w:val="0030541A"/>
    <w:rsid w:val="00305DF1"/>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0F5"/>
    <w:rsid w:val="00342A3B"/>
    <w:rsid w:val="00343B86"/>
    <w:rsid w:val="003460A8"/>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757E4"/>
    <w:rsid w:val="00382F87"/>
    <w:rsid w:val="0038440D"/>
    <w:rsid w:val="003853B0"/>
    <w:rsid w:val="003863B2"/>
    <w:rsid w:val="00386AA7"/>
    <w:rsid w:val="0038705E"/>
    <w:rsid w:val="00387FF1"/>
    <w:rsid w:val="0039108A"/>
    <w:rsid w:val="00391CAF"/>
    <w:rsid w:val="003921F8"/>
    <w:rsid w:val="00393BB7"/>
    <w:rsid w:val="003945F3"/>
    <w:rsid w:val="00394889"/>
    <w:rsid w:val="00394EC8"/>
    <w:rsid w:val="003969C7"/>
    <w:rsid w:val="003A1FD1"/>
    <w:rsid w:val="003A26B3"/>
    <w:rsid w:val="003A2FBC"/>
    <w:rsid w:val="003A4D7B"/>
    <w:rsid w:val="003A6762"/>
    <w:rsid w:val="003B0672"/>
    <w:rsid w:val="003B0884"/>
    <w:rsid w:val="003B1BF1"/>
    <w:rsid w:val="003B4D5F"/>
    <w:rsid w:val="003B4F20"/>
    <w:rsid w:val="003C2176"/>
    <w:rsid w:val="003C394F"/>
    <w:rsid w:val="003C4AC9"/>
    <w:rsid w:val="003D0B01"/>
    <w:rsid w:val="003D4DBB"/>
    <w:rsid w:val="003D70BC"/>
    <w:rsid w:val="003E0ADE"/>
    <w:rsid w:val="003E11A2"/>
    <w:rsid w:val="003E19CF"/>
    <w:rsid w:val="003E1BF5"/>
    <w:rsid w:val="003E33AF"/>
    <w:rsid w:val="003E4CCD"/>
    <w:rsid w:val="003E4CF0"/>
    <w:rsid w:val="003E4D75"/>
    <w:rsid w:val="003E5390"/>
    <w:rsid w:val="003E703A"/>
    <w:rsid w:val="003F132B"/>
    <w:rsid w:val="0040343E"/>
    <w:rsid w:val="00410C1C"/>
    <w:rsid w:val="00410E81"/>
    <w:rsid w:val="0041250E"/>
    <w:rsid w:val="00414B6A"/>
    <w:rsid w:val="0041506B"/>
    <w:rsid w:val="0041651D"/>
    <w:rsid w:val="00420FCE"/>
    <w:rsid w:val="00424DA0"/>
    <w:rsid w:val="00425AC2"/>
    <w:rsid w:val="00426290"/>
    <w:rsid w:val="00431402"/>
    <w:rsid w:val="0043237B"/>
    <w:rsid w:val="00435997"/>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1CC"/>
    <w:rsid w:val="004813C0"/>
    <w:rsid w:val="00481B5F"/>
    <w:rsid w:val="00483E30"/>
    <w:rsid w:val="004845D3"/>
    <w:rsid w:val="00491963"/>
    <w:rsid w:val="004921A0"/>
    <w:rsid w:val="00492232"/>
    <w:rsid w:val="00492D01"/>
    <w:rsid w:val="00492D22"/>
    <w:rsid w:val="00493590"/>
    <w:rsid w:val="00493EDD"/>
    <w:rsid w:val="00494DB3"/>
    <w:rsid w:val="0049516A"/>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1458"/>
    <w:rsid w:val="004F254C"/>
    <w:rsid w:val="004F2AA9"/>
    <w:rsid w:val="004F4791"/>
    <w:rsid w:val="004F4D30"/>
    <w:rsid w:val="004F6449"/>
    <w:rsid w:val="0050391A"/>
    <w:rsid w:val="00504F36"/>
    <w:rsid w:val="0050531E"/>
    <w:rsid w:val="00507873"/>
    <w:rsid w:val="00507E41"/>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43BE"/>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E00"/>
    <w:rsid w:val="005E4E2D"/>
    <w:rsid w:val="005E57A5"/>
    <w:rsid w:val="005F0686"/>
    <w:rsid w:val="005F10C7"/>
    <w:rsid w:val="005F7952"/>
    <w:rsid w:val="005F7B49"/>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14FC"/>
    <w:rsid w:val="00651F19"/>
    <w:rsid w:val="006622AB"/>
    <w:rsid w:val="00662FE3"/>
    <w:rsid w:val="00664E67"/>
    <w:rsid w:val="00666BA7"/>
    <w:rsid w:val="0066756A"/>
    <w:rsid w:val="00671F55"/>
    <w:rsid w:val="006725CA"/>
    <w:rsid w:val="00676440"/>
    <w:rsid w:val="00677663"/>
    <w:rsid w:val="00681406"/>
    <w:rsid w:val="006818D0"/>
    <w:rsid w:val="0068206C"/>
    <w:rsid w:val="00684DA6"/>
    <w:rsid w:val="0069058A"/>
    <w:rsid w:val="00691E34"/>
    <w:rsid w:val="006946A7"/>
    <w:rsid w:val="006965CD"/>
    <w:rsid w:val="00696A0E"/>
    <w:rsid w:val="00696B9D"/>
    <w:rsid w:val="006A2870"/>
    <w:rsid w:val="006A2A31"/>
    <w:rsid w:val="006A2A4C"/>
    <w:rsid w:val="006A64B0"/>
    <w:rsid w:val="006B1B74"/>
    <w:rsid w:val="006B1E44"/>
    <w:rsid w:val="006B47AB"/>
    <w:rsid w:val="006B4871"/>
    <w:rsid w:val="006C2ED4"/>
    <w:rsid w:val="006C396E"/>
    <w:rsid w:val="006C40BB"/>
    <w:rsid w:val="006C63EB"/>
    <w:rsid w:val="006C6AB7"/>
    <w:rsid w:val="006C77E8"/>
    <w:rsid w:val="006D2AE8"/>
    <w:rsid w:val="006D3AEE"/>
    <w:rsid w:val="006D57F9"/>
    <w:rsid w:val="006E33B9"/>
    <w:rsid w:val="006E5349"/>
    <w:rsid w:val="006E5F6A"/>
    <w:rsid w:val="006F0161"/>
    <w:rsid w:val="006F06E0"/>
    <w:rsid w:val="006F298B"/>
    <w:rsid w:val="006F53E5"/>
    <w:rsid w:val="006F757D"/>
    <w:rsid w:val="006F7AAC"/>
    <w:rsid w:val="006F7F9C"/>
    <w:rsid w:val="00701DE8"/>
    <w:rsid w:val="007061CA"/>
    <w:rsid w:val="00707446"/>
    <w:rsid w:val="00717105"/>
    <w:rsid w:val="00721597"/>
    <w:rsid w:val="00722F43"/>
    <w:rsid w:val="00723777"/>
    <w:rsid w:val="007256FC"/>
    <w:rsid w:val="007319B9"/>
    <w:rsid w:val="00734173"/>
    <w:rsid w:val="00735875"/>
    <w:rsid w:val="007365CA"/>
    <w:rsid w:val="007369EF"/>
    <w:rsid w:val="007371AC"/>
    <w:rsid w:val="00740DF9"/>
    <w:rsid w:val="00741814"/>
    <w:rsid w:val="00743247"/>
    <w:rsid w:val="007433AD"/>
    <w:rsid w:val="00744760"/>
    <w:rsid w:val="00745DB6"/>
    <w:rsid w:val="007522CF"/>
    <w:rsid w:val="007539D0"/>
    <w:rsid w:val="00754026"/>
    <w:rsid w:val="00754563"/>
    <w:rsid w:val="00754E9B"/>
    <w:rsid w:val="00757660"/>
    <w:rsid w:val="007612CE"/>
    <w:rsid w:val="00762255"/>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1A0A"/>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0AA"/>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634C"/>
    <w:rsid w:val="008470AE"/>
    <w:rsid w:val="00850806"/>
    <w:rsid w:val="00850D59"/>
    <w:rsid w:val="0085613D"/>
    <w:rsid w:val="00860214"/>
    <w:rsid w:val="0086149A"/>
    <w:rsid w:val="0086185B"/>
    <w:rsid w:val="00865843"/>
    <w:rsid w:val="00865CE0"/>
    <w:rsid w:val="008664CF"/>
    <w:rsid w:val="00866C5E"/>
    <w:rsid w:val="00867A21"/>
    <w:rsid w:val="00870DC9"/>
    <w:rsid w:val="00872796"/>
    <w:rsid w:val="00872C80"/>
    <w:rsid w:val="00872F67"/>
    <w:rsid w:val="00874385"/>
    <w:rsid w:val="00874DEB"/>
    <w:rsid w:val="00874EBC"/>
    <w:rsid w:val="00876A49"/>
    <w:rsid w:val="00881960"/>
    <w:rsid w:val="00881B5E"/>
    <w:rsid w:val="008907FE"/>
    <w:rsid w:val="00890E40"/>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9AA"/>
    <w:rsid w:val="008C1AFA"/>
    <w:rsid w:val="008C6242"/>
    <w:rsid w:val="008C7104"/>
    <w:rsid w:val="008C75AE"/>
    <w:rsid w:val="008C7877"/>
    <w:rsid w:val="008D0BD9"/>
    <w:rsid w:val="008D39BB"/>
    <w:rsid w:val="008D4C3B"/>
    <w:rsid w:val="008D6E08"/>
    <w:rsid w:val="008E23CC"/>
    <w:rsid w:val="008E2D02"/>
    <w:rsid w:val="008E34B8"/>
    <w:rsid w:val="008E39C3"/>
    <w:rsid w:val="008E4F86"/>
    <w:rsid w:val="008E6466"/>
    <w:rsid w:val="008E6E9A"/>
    <w:rsid w:val="008E7CE1"/>
    <w:rsid w:val="008F66B0"/>
    <w:rsid w:val="0090270D"/>
    <w:rsid w:val="009079CC"/>
    <w:rsid w:val="0091105F"/>
    <w:rsid w:val="009116A0"/>
    <w:rsid w:val="00912A04"/>
    <w:rsid w:val="009218F3"/>
    <w:rsid w:val="00922312"/>
    <w:rsid w:val="00922624"/>
    <w:rsid w:val="009233CE"/>
    <w:rsid w:val="009258E8"/>
    <w:rsid w:val="009267A7"/>
    <w:rsid w:val="00927983"/>
    <w:rsid w:val="00932336"/>
    <w:rsid w:val="00932371"/>
    <w:rsid w:val="0093436F"/>
    <w:rsid w:val="00936026"/>
    <w:rsid w:val="00936DF1"/>
    <w:rsid w:val="009374F6"/>
    <w:rsid w:val="00937690"/>
    <w:rsid w:val="00941C0E"/>
    <w:rsid w:val="009431BE"/>
    <w:rsid w:val="00943471"/>
    <w:rsid w:val="009453E6"/>
    <w:rsid w:val="00945F13"/>
    <w:rsid w:val="00950447"/>
    <w:rsid w:val="009515FD"/>
    <w:rsid w:val="00952531"/>
    <w:rsid w:val="00953F0C"/>
    <w:rsid w:val="009542DC"/>
    <w:rsid w:val="009552AA"/>
    <w:rsid w:val="009555C4"/>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ED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10EB2"/>
    <w:rsid w:val="00A11FFE"/>
    <w:rsid w:val="00A126DC"/>
    <w:rsid w:val="00A150C4"/>
    <w:rsid w:val="00A17123"/>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4202"/>
    <w:rsid w:val="00AA6781"/>
    <w:rsid w:val="00AB53E7"/>
    <w:rsid w:val="00AB5825"/>
    <w:rsid w:val="00AB617C"/>
    <w:rsid w:val="00AB6FDC"/>
    <w:rsid w:val="00AB7017"/>
    <w:rsid w:val="00AB78CC"/>
    <w:rsid w:val="00AC2903"/>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784"/>
    <w:rsid w:val="00AF5B1C"/>
    <w:rsid w:val="00AF6018"/>
    <w:rsid w:val="00AF6BB8"/>
    <w:rsid w:val="00AF7D27"/>
    <w:rsid w:val="00B01C67"/>
    <w:rsid w:val="00B052D9"/>
    <w:rsid w:val="00B0788E"/>
    <w:rsid w:val="00B10842"/>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514A"/>
    <w:rsid w:val="00B6379B"/>
    <w:rsid w:val="00B63963"/>
    <w:rsid w:val="00B64B4E"/>
    <w:rsid w:val="00B64F7F"/>
    <w:rsid w:val="00B65921"/>
    <w:rsid w:val="00B6631F"/>
    <w:rsid w:val="00B663A0"/>
    <w:rsid w:val="00B677D0"/>
    <w:rsid w:val="00B70BF1"/>
    <w:rsid w:val="00B725AC"/>
    <w:rsid w:val="00B72AA3"/>
    <w:rsid w:val="00B7301E"/>
    <w:rsid w:val="00B75ECC"/>
    <w:rsid w:val="00B76BB2"/>
    <w:rsid w:val="00B774BA"/>
    <w:rsid w:val="00B82426"/>
    <w:rsid w:val="00B837E2"/>
    <w:rsid w:val="00B84145"/>
    <w:rsid w:val="00B853B3"/>
    <w:rsid w:val="00B85682"/>
    <w:rsid w:val="00B85813"/>
    <w:rsid w:val="00B86ABC"/>
    <w:rsid w:val="00B87224"/>
    <w:rsid w:val="00B91444"/>
    <w:rsid w:val="00B92498"/>
    <w:rsid w:val="00B9271F"/>
    <w:rsid w:val="00B929BD"/>
    <w:rsid w:val="00B9393F"/>
    <w:rsid w:val="00B94B54"/>
    <w:rsid w:val="00B95DAE"/>
    <w:rsid w:val="00B95DC7"/>
    <w:rsid w:val="00B96AB0"/>
    <w:rsid w:val="00B96F28"/>
    <w:rsid w:val="00BA07DF"/>
    <w:rsid w:val="00BA1A6B"/>
    <w:rsid w:val="00BA3FA5"/>
    <w:rsid w:val="00BA75BF"/>
    <w:rsid w:val="00BB0BE3"/>
    <w:rsid w:val="00BB1318"/>
    <w:rsid w:val="00BB163D"/>
    <w:rsid w:val="00BB2198"/>
    <w:rsid w:val="00BB472F"/>
    <w:rsid w:val="00BB6112"/>
    <w:rsid w:val="00BB63D2"/>
    <w:rsid w:val="00BC0607"/>
    <w:rsid w:val="00BC1762"/>
    <w:rsid w:val="00BC253D"/>
    <w:rsid w:val="00BC35A6"/>
    <w:rsid w:val="00BC566C"/>
    <w:rsid w:val="00BD0DB3"/>
    <w:rsid w:val="00BD1200"/>
    <w:rsid w:val="00BD42C8"/>
    <w:rsid w:val="00BD6A50"/>
    <w:rsid w:val="00BE0039"/>
    <w:rsid w:val="00BE05A0"/>
    <w:rsid w:val="00BE1D94"/>
    <w:rsid w:val="00BE23D3"/>
    <w:rsid w:val="00BE3137"/>
    <w:rsid w:val="00BE46B4"/>
    <w:rsid w:val="00BE50D4"/>
    <w:rsid w:val="00BF38B2"/>
    <w:rsid w:val="00BF3D34"/>
    <w:rsid w:val="00BF49BD"/>
    <w:rsid w:val="00BF565A"/>
    <w:rsid w:val="00C02FDE"/>
    <w:rsid w:val="00C0559A"/>
    <w:rsid w:val="00C068DC"/>
    <w:rsid w:val="00C1079B"/>
    <w:rsid w:val="00C107CC"/>
    <w:rsid w:val="00C116B5"/>
    <w:rsid w:val="00C11B87"/>
    <w:rsid w:val="00C169FE"/>
    <w:rsid w:val="00C17F7A"/>
    <w:rsid w:val="00C23CD1"/>
    <w:rsid w:val="00C2593B"/>
    <w:rsid w:val="00C3073D"/>
    <w:rsid w:val="00C30A22"/>
    <w:rsid w:val="00C32813"/>
    <w:rsid w:val="00C3424A"/>
    <w:rsid w:val="00C4404B"/>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82E69"/>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D342C"/>
    <w:rsid w:val="00CD45CF"/>
    <w:rsid w:val="00CD6AF3"/>
    <w:rsid w:val="00CD7A18"/>
    <w:rsid w:val="00CE038E"/>
    <w:rsid w:val="00CE1061"/>
    <w:rsid w:val="00CE4513"/>
    <w:rsid w:val="00CE4E98"/>
    <w:rsid w:val="00CE5320"/>
    <w:rsid w:val="00CE536C"/>
    <w:rsid w:val="00CE6883"/>
    <w:rsid w:val="00CE7155"/>
    <w:rsid w:val="00CE7602"/>
    <w:rsid w:val="00CF0F77"/>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27323"/>
    <w:rsid w:val="00D30566"/>
    <w:rsid w:val="00D307BC"/>
    <w:rsid w:val="00D30CA9"/>
    <w:rsid w:val="00D3304F"/>
    <w:rsid w:val="00D33122"/>
    <w:rsid w:val="00D33253"/>
    <w:rsid w:val="00D372FB"/>
    <w:rsid w:val="00D373B7"/>
    <w:rsid w:val="00D37AE4"/>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23A"/>
    <w:rsid w:val="00DA5B10"/>
    <w:rsid w:val="00DA67FF"/>
    <w:rsid w:val="00DB0585"/>
    <w:rsid w:val="00DB49BE"/>
    <w:rsid w:val="00DB79B6"/>
    <w:rsid w:val="00DC01D4"/>
    <w:rsid w:val="00DD0C41"/>
    <w:rsid w:val="00DD1FB7"/>
    <w:rsid w:val="00DD284E"/>
    <w:rsid w:val="00DD2961"/>
    <w:rsid w:val="00DD2B66"/>
    <w:rsid w:val="00DD45E5"/>
    <w:rsid w:val="00DD5DBC"/>
    <w:rsid w:val="00DE1C6D"/>
    <w:rsid w:val="00DE2C03"/>
    <w:rsid w:val="00DE59C5"/>
    <w:rsid w:val="00DE5F92"/>
    <w:rsid w:val="00DE7047"/>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516E4"/>
    <w:rsid w:val="00E51AAA"/>
    <w:rsid w:val="00E52B95"/>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A7C2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57E"/>
    <w:rsid w:val="00EE5FBB"/>
    <w:rsid w:val="00EF1265"/>
    <w:rsid w:val="00EF4252"/>
    <w:rsid w:val="00F00876"/>
    <w:rsid w:val="00F01C97"/>
    <w:rsid w:val="00F02053"/>
    <w:rsid w:val="00F03EDC"/>
    <w:rsid w:val="00F05347"/>
    <w:rsid w:val="00F10146"/>
    <w:rsid w:val="00F10A7A"/>
    <w:rsid w:val="00F117F1"/>
    <w:rsid w:val="00F12B0D"/>
    <w:rsid w:val="00F144DB"/>
    <w:rsid w:val="00F16511"/>
    <w:rsid w:val="00F16908"/>
    <w:rsid w:val="00F17312"/>
    <w:rsid w:val="00F17C22"/>
    <w:rsid w:val="00F209AB"/>
    <w:rsid w:val="00F2210D"/>
    <w:rsid w:val="00F26920"/>
    <w:rsid w:val="00F33760"/>
    <w:rsid w:val="00F35D8E"/>
    <w:rsid w:val="00F37105"/>
    <w:rsid w:val="00F40E67"/>
    <w:rsid w:val="00F41AA0"/>
    <w:rsid w:val="00F42B2E"/>
    <w:rsid w:val="00F4545F"/>
    <w:rsid w:val="00F45DA6"/>
    <w:rsid w:val="00F46AFD"/>
    <w:rsid w:val="00F54688"/>
    <w:rsid w:val="00F569ED"/>
    <w:rsid w:val="00F56F6F"/>
    <w:rsid w:val="00F6168D"/>
    <w:rsid w:val="00F63ADC"/>
    <w:rsid w:val="00F64002"/>
    <w:rsid w:val="00F65B93"/>
    <w:rsid w:val="00F66B3D"/>
    <w:rsid w:val="00F67D7A"/>
    <w:rsid w:val="00F712A2"/>
    <w:rsid w:val="00F732B5"/>
    <w:rsid w:val="00F734BB"/>
    <w:rsid w:val="00F73726"/>
    <w:rsid w:val="00F73DAB"/>
    <w:rsid w:val="00F743C4"/>
    <w:rsid w:val="00F74466"/>
    <w:rsid w:val="00F75323"/>
    <w:rsid w:val="00F7540D"/>
    <w:rsid w:val="00F805F0"/>
    <w:rsid w:val="00F8072A"/>
    <w:rsid w:val="00F839C1"/>
    <w:rsid w:val="00F849C4"/>
    <w:rsid w:val="00F84B30"/>
    <w:rsid w:val="00F8588F"/>
    <w:rsid w:val="00F85C62"/>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29B83"/>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921"/>
    <w:rPr>
      <w:sz w:val="24"/>
      <w:szCs w:val="24"/>
      <w:lang w:val="en-US" w:eastAsia="en-US"/>
    </w:rPr>
  </w:style>
  <w:style w:type="paragraph" w:styleId="Nadpis10">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0">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0"/>
    <w:uiPriority w:val="9"/>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qFormat/>
    <w:locked/>
    <w:rsid w:val="00662FE3"/>
    <w:rPr>
      <w:lang w:val="cs-CZ" w:eastAsia="cs-CZ"/>
    </w:rPr>
  </w:style>
  <w:style w:type="paragraph" w:customStyle="1" w:styleId="Text">
    <w:name w:val="Text"/>
    <w:basedOn w:val="Normln"/>
    <w:link w:val="TextChar"/>
    <w:qFormat/>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0"/>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rsid w:val="001E0239"/>
    <w:pPr>
      <w:keepNext/>
      <w:numPr>
        <w:numId w:val="3"/>
      </w:numPr>
      <w:outlineLvl w:val="0"/>
    </w:pPr>
    <w:rPr>
      <w:b/>
      <w:bCs/>
      <w:caps/>
      <w:kern w:val="32"/>
    </w:rPr>
  </w:style>
  <w:style w:type="paragraph" w:customStyle="1" w:styleId="BMH2">
    <w:name w:val="BM_H2"/>
    <w:basedOn w:val="BMT0"/>
    <w:next w:val="BMT0"/>
    <w:rsid w:val="001E0239"/>
    <w:pPr>
      <w:keepNext/>
      <w:numPr>
        <w:ilvl w:val="1"/>
        <w:numId w:val="3"/>
      </w:numPr>
      <w:outlineLvl w:val="1"/>
    </w:pPr>
    <w:rPr>
      <w:b/>
      <w:bCs/>
    </w:rPr>
  </w:style>
  <w:style w:type="paragraph" w:customStyle="1" w:styleId="BMH3">
    <w:name w:val="BM_H3"/>
    <w:basedOn w:val="BMT0"/>
    <w:next w:val="BMT0"/>
    <w:rsid w:val="001E0239"/>
    <w:pPr>
      <w:keepNext/>
      <w:numPr>
        <w:ilvl w:val="2"/>
        <w:numId w:val="3"/>
      </w:numPr>
      <w:outlineLvl w:val="2"/>
    </w:pPr>
    <w:rPr>
      <w:b/>
      <w:bCs/>
    </w:rPr>
  </w:style>
  <w:style w:type="paragraph" w:customStyle="1" w:styleId="BMH4">
    <w:name w:val="BM_H4"/>
    <w:basedOn w:val="BMT0"/>
    <w:next w:val="BMT0"/>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1">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qFormat/>
    <w:rsid w:val="00E05A42"/>
    <w:rPr>
      <w:sz w:val="16"/>
      <w:szCs w:val="16"/>
    </w:rPr>
  </w:style>
  <w:style w:type="paragraph" w:customStyle="1" w:styleId="StylNadpis1nenTun">
    <w:name w:val="Styl Nadpis 1 + není Tučné"/>
    <w:basedOn w:val="Nadpis10"/>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0"/>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0"/>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0"/>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 w:type="paragraph" w:customStyle="1" w:styleId="Nadpis1">
    <w:name w:val="Nadpis_1"/>
    <w:basedOn w:val="Nadpis10"/>
    <w:next w:val="Normln"/>
    <w:qFormat/>
    <w:rsid w:val="001728C6"/>
    <w:pPr>
      <w:keepLines/>
      <w:numPr>
        <w:numId w:val="28"/>
      </w:numPr>
      <w:spacing w:before="200" w:after="240"/>
      <w:jc w:val="both"/>
    </w:pPr>
    <w:rPr>
      <w:rFonts w:asciiTheme="majorHAnsi" w:eastAsiaTheme="majorEastAsia" w:hAnsiTheme="majorHAnsi" w:cstheme="majorBidi"/>
      <w:bCs w:val="0"/>
      <w:color w:val="365F91" w:themeColor="accent1" w:themeShade="BF"/>
      <w:kern w:val="0"/>
      <w:sz w:val="28"/>
      <w:lang w:val="cs-CZ"/>
    </w:rPr>
  </w:style>
  <w:style w:type="paragraph" w:customStyle="1" w:styleId="Nadpis2">
    <w:name w:val="Nadpis_2"/>
    <w:basedOn w:val="Nadpis20"/>
    <w:qFormat/>
    <w:rsid w:val="001728C6"/>
    <w:pPr>
      <w:keepLines/>
      <w:numPr>
        <w:ilvl w:val="1"/>
        <w:numId w:val="28"/>
      </w:numPr>
      <w:spacing w:before="200" w:after="240"/>
      <w:jc w:val="both"/>
    </w:pPr>
    <w:rPr>
      <w:rFonts w:asciiTheme="majorHAnsi" w:eastAsiaTheme="majorEastAsia" w:hAnsiTheme="majorHAnsi" w:cstheme="majorBidi"/>
      <w:iCs w:val="0"/>
      <w:color w:val="365F91" w:themeColor="accent1" w:themeShade="BF"/>
      <w:sz w:val="24"/>
      <w:szCs w:val="26"/>
      <w:lang w:val="cs-CZ"/>
    </w:rPr>
  </w:style>
  <w:style w:type="paragraph" w:customStyle="1" w:styleId="Nadpis3">
    <w:name w:val="Nadpis_3"/>
    <w:basedOn w:val="Nadpis30"/>
    <w:link w:val="Nadpis3Char0"/>
    <w:qFormat/>
    <w:rsid w:val="001728C6"/>
    <w:pPr>
      <w:keepLines/>
      <w:numPr>
        <w:ilvl w:val="2"/>
        <w:numId w:val="28"/>
      </w:numPr>
      <w:spacing w:before="200" w:after="240"/>
      <w:jc w:val="both"/>
    </w:pPr>
    <w:rPr>
      <w:rFonts w:asciiTheme="majorHAnsi" w:eastAsiaTheme="majorEastAsia" w:hAnsiTheme="majorHAnsi" w:cstheme="majorBidi"/>
      <w:color w:val="243F60" w:themeColor="accent1" w:themeShade="7F"/>
      <w:sz w:val="24"/>
      <w:szCs w:val="24"/>
    </w:rPr>
  </w:style>
  <w:style w:type="character" w:customStyle="1" w:styleId="Nadpis3Char0">
    <w:name w:val="Nadpis_3 Char"/>
    <w:basedOn w:val="Nadpis3Char"/>
    <w:link w:val="Nadpis3"/>
    <w:rsid w:val="001728C6"/>
    <w:rPr>
      <w:rFonts w:asciiTheme="majorHAnsi" w:eastAsiaTheme="majorEastAsia" w:hAnsiTheme="majorHAnsi" w:cstheme="majorBidi"/>
      <w:b/>
      <w:bCs/>
      <w:color w:val="243F60" w:themeColor="accent1" w:themeShade="7F"/>
      <w:sz w:val="24"/>
      <w:szCs w:val="24"/>
      <w:lang w:val="en-US" w:eastAsia="en-US"/>
    </w:rPr>
  </w:style>
  <w:style w:type="paragraph" w:customStyle="1" w:styleId="l7">
    <w:name w:val="l7"/>
    <w:basedOn w:val="Normln"/>
    <w:uiPriority w:val="99"/>
    <w:rsid w:val="00261C75"/>
    <w:pPr>
      <w:spacing w:before="100" w:beforeAutospacing="1" w:after="100" w:afterAutospacing="1"/>
    </w:pPr>
    <w:rPr>
      <w:lang w:val="cs-CZ" w:eastAsia="cs-CZ"/>
    </w:rPr>
  </w:style>
  <w:style w:type="paragraph" w:customStyle="1" w:styleId="Dvodovzprvakbodu">
    <w:name w:val="Důvodová zpráva k bodu"/>
    <w:basedOn w:val="Normln"/>
    <w:next w:val="Dvodovzprva"/>
    <w:uiPriority w:val="99"/>
    <w:rsid w:val="00261C75"/>
    <w:pPr>
      <w:keepNext/>
      <w:numPr>
        <w:numId w:val="30"/>
      </w:numPr>
      <w:tabs>
        <w:tab w:val="left" w:pos="1134"/>
      </w:tabs>
      <w:spacing w:before="120"/>
      <w:jc w:val="both"/>
      <w:outlineLvl w:val="0"/>
    </w:pPr>
    <w:rPr>
      <w:rFonts w:ascii="Arial" w:eastAsia="Calibri" w:hAnsi="Arial"/>
      <w:b/>
      <w:bCs/>
      <w:color w:val="0000FF"/>
      <w:sz w:val="22"/>
      <w:lang w:val="cs-CZ" w:eastAsia="cs-CZ"/>
    </w:rPr>
  </w:style>
  <w:style w:type="paragraph" w:styleId="Titulek">
    <w:name w:val="caption"/>
    <w:basedOn w:val="Normln"/>
    <w:next w:val="Normln"/>
    <w:uiPriority w:val="35"/>
    <w:unhideWhenUsed/>
    <w:qFormat/>
    <w:rsid w:val="00DC01D4"/>
    <w:pPr>
      <w:spacing w:after="200"/>
    </w:pPr>
    <w:rPr>
      <w:rFonts w:ascii="Garamond" w:eastAsiaTheme="minorHAnsi" w:hAnsi="Garamond" w:cs="Segoe UI"/>
      <w:i/>
      <w:iCs/>
      <w:color w:val="1F497D" w:themeColor="text2"/>
      <w:sz w:val="18"/>
      <w:szCs w:val="18"/>
      <w:lang w:val="cs-CZ"/>
    </w:rPr>
  </w:style>
  <w:style w:type="character" w:customStyle="1" w:styleId="InternetLink">
    <w:name w:val="Internet Link"/>
    <w:basedOn w:val="Standardnpsmoodstavce"/>
    <w:uiPriority w:val="99"/>
    <w:semiHidden/>
    <w:unhideWhenUsed/>
    <w:rsid w:val="005F7B49"/>
    <w:rPr>
      <w:color w:val="0000FF"/>
      <w:u w:val="single"/>
    </w:rPr>
  </w:style>
  <w:style w:type="character" w:customStyle="1" w:styleId="FootnoteCharacters">
    <w:name w:val="Footnote Characters"/>
    <w:basedOn w:val="Standardnpsmoodstavce"/>
    <w:uiPriority w:val="99"/>
    <w:semiHidden/>
    <w:unhideWhenUsed/>
    <w:qFormat/>
    <w:rsid w:val="005F7B49"/>
    <w:rPr>
      <w:vertAlign w:val="superscript"/>
    </w:rPr>
  </w:style>
  <w:style w:type="character" w:customStyle="1" w:styleId="FootnoteAnchor">
    <w:name w:val="Footnote Anchor"/>
    <w:rsid w:val="005F7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e.kdpcr.cz/directory?link=aspi%3A%2F%2F91%2F2012%20Sb.%237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E67B-AF13-4BF9-8572-4DD39116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9418</Words>
  <Characters>55569</Characters>
  <Application>Microsoft Office Word</Application>
  <DocSecurity>0</DocSecurity>
  <Lines>463</Lines>
  <Paragraphs>129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64858</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Bláhová Andrea (GFŘ)</cp:lastModifiedBy>
  <cp:revision>2</cp:revision>
  <cp:lastPrinted>2023-12-04T12:56:00Z</cp:lastPrinted>
  <dcterms:created xsi:type="dcterms:W3CDTF">2023-12-04T14:49:00Z</dcterms:created>
  <dcterms:modified xsi:type="dcterms:W3CDTF">2023-12-04T14:49:00Z</dcterms:modified>
</cp:coreProperties>
</file>