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8C" w:rsidRPr="00A844FE" w:rsidRDefault="00BB488C" w:rsidP="00BB488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4</w:t>
      </w:r>
      <w:r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Pr="00A844FE">
        <w:rPr>
          <w:rFonts w:ascii="Arial" w:hAnsi="Arial" w:cs="Arial"/>
          <w:b/>
          <w:u w:val="single"/>
        </w:rPr>
        <w:t>/2018</w:t>
      </w:r>
    </w:p>
    <w:p w:rsidR="00BB488C" w:rsidRDefault="00BB488C" w:rsidP="00BB488C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>
        <w:rPr>
          <w:rFonts w:ascii="Arial" w:hAnsi="Arial" w:cs="Arial"/>
          <w:b/>
          <w:u w:val="single"/>
        </w:rPr>
        <w:t>y a odpovědi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BB488C" w:rsidRPr="005E4D0A" w:rsidRDefault="00BB488C" w:rsidP="00BB488C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 w:rsidRPr="005E4D0A">
        <w:rPr>
          <w:rFonts w:ascii="Arial" w:hAnsi="Arial" w:cs="Arial"/>
          <w:szCs w:val="22"/>
        </w:rPr>
        <w:t xml:space="preserve">K Vaší žádosti Vám podle § 14 odst. 5 písm. d) zákona o svobodném přístupu k informacím sdělujeme část níže uvedených informací a v části Vás podle § 6 zákona o svobodném přístupu k informacím odkazujeme na zveřejněné informace na internetových stránkách Finanční správy </w:t>
      </w:r>
      <w:hyperlink r:id="rId6" w:history="1">
        <w:r w:rsidRPr="005E4D0A">
          <w:rPr>
            <w:rStyle w:val="Hypertextovodkaz"/>
            <w:rFonts w:ascii="Arial" w:hAnsi="Arial" w:cs="Arial"/>
            <w:szCs w:val="22"/>
          </w:rPr>
          <w:t>www.financnisprava.cz</w:t>
        </w:r>
      </w:hyperlink>
      <w:r w:rsidRPr="005E4D0A">
        <w:rPr>
          <w:rFonts w:ascii="Arial" w:hAnsi="Arial" w:cs="Arial"/>
          <w:szCs w:val="22"/>
        </w:rPr>
        <w:t xml:space="preserve">, přímé odkazy naleznete u Vašich konkrétních dotazů. </w:t>
      </w:r>
    </w:p>
    <w:p w:rsidR="00BB488C" w:rsidRPr="005E4D0A" w:rsidRDefault="00BB488C" w:rsidP="00BB488C">
      <w:pPr>
        <w:spacing w:after="100" w:afterAutospacing="1"/>
        <w:rPr>
          <w:rFonts w:ascii="Arial" w:hAnsi="Arial" w:cs="Arial"/>
        </w:rPr>
      </w:pPr>
      <w:r w:rsidRPr="005E4D0A">
        <w:rPr>
          <w:rFonts w:ascii="Arial" w:hAnsi="Arial" w:cs="Arial"/>
        </w:rPr>
        <w:t xml:space="preserve">Upozorňujeme, že disponujeme informacemi za Finanční správu a pouze z části za Celní správu (pouze informace o počtu provedených kontrol). </w:t>
      </w:r>
    </w:p>
    <w:p w:rsidR="00BB488C" w:rsidRPr="005E4D0A" w:rsidRDefault="00BB488C" w:rsidP="00BB488C">
      <w:pPr>
        <w:spacing w:after="100" w:afterAutospacing="1"/>
        <w:rPr>
          <w:rFonts w:ascii="Arial" w:hAnsi="Arial" w:cs="Arial"/>
          <w:b/>
          <w:bCs/>
        </w:rPr>
      </w:pPr>
      <w:r w:rsidRPr="005E4D0A">
        <w:rPr>
          <w:rFonts w:ascii="Arial" w:hAnsi="Arial" w:cs="Arial"/>
          <w:b/>
          <w:bCs/>
        </w:rPr>
        <w:t>Příjmy (výnosy):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Příjem (nárůst) po zavedení EET k 1. 12. 2016</w:t>
      </w:r>
    </w:p>
    <w:p w:rsidR="00BB488C" w:rsidRPr="005E4D0A" w:rsidRDefault="00BB488C" w:rsidP="00BB488C">
      <w:pPr>
        <w:pStyle w:val="Odstavecseseznamem"/>
        <w:numPr>
          <w:ilvl w:val="0"/>
          <w:numId w:val="3"/>
        </w:numPr>
        <w:spacing w:after="100" w:afterAutospacing="1"/>
        <w:rPr>
          <w:rFonts w:cs="Arial"/>
        </w:rPr>
      </w:pPr>
      <w:r w:rsidRPr="005E4D0A">
        <w:rPr>
          <w:rFonts w:cs="Arial"/>
        </w:rPr>
        <w:t>Daň z příjmů ( DPFO, DPPO) – po 1. vlně (celková částka)</w:t>
      </w:r>
    </w:p>
    <w:p w:rsidR="00BB488C" w:rsidRPr="005E4D0A" w:rsidRDefault="00BB488C" w:rsidP="00BB488C">
      <w:pPr>
        <w:pStyle w:val="Odstavecseseznamem"/>
        <w:numPr>
          <w:ilvl w:val="0"/>
          <w:numId w:val="3"/>
        </w:numPr>
        <w:spacing w:after="100" w:afterAutospacing="1"/>
        <w:rPr>
          <w:rFonts w:cs="Arial"/>
        </w:rPr>
      </w:pPr>
      <w:r w:rsidRPr="005E4D0A">
        <w:rPr>
          <w:rFonts w:cs="Arial"/>
        </w:rPr>
        <w:t>DPH  - po 1. vlně (celková částka)</w:t>
      </w:r>
    </w:p>
    <w:p w:rsidR="00BB488C" w:rsidRPr="005E4D0A" w:rsidRDefault="00BB488C" w:rsidP="00BB488C">
      <w:pPr>
        <w:pStyle w:val="Odstavecseseznamem"/>
        <w:numPr>
          <w:ilvl w:val="0"/>
          <w:numId w:val="3"/>
        </w:numPr>
        <w:spacing w:after="100" w:afterAutospacing="1"/>
        <w:rPr>
          <w:rFonts w:cs="Arial"/>
        </w:rPr>
      </w:pPr>
      <w:r w:rsidRPr="005E4D0A">
        <w:rPr>
          <w:rFonts w:cs="Arial"/>
        </w:rPr>
        <w:t>Daň z příjmů (DPFO, DPPO) – po 2. vlně (celková částka)</w:t>
      </w:r>
    </w:p>
    <w:p w:rsidR="00BB488C" w:rsidRPr="005E4D0A" w:rsidRDefault="00BB488C" w:rsidP="00BB488C">
      <w:pPr>
        <w:pStyle w:val="Odstavecseseznamem"/>
        <w:numPr>
          <w:ilvl w:val="0"/>
          <w:numId w:val="3"/>
        </w:numPr>
        <w:spacing w:after="100" w:afterAutospacing="1"/>
        <w:rPr>
          <w:rFonts w:cs="Arial"/>
        </w:rPr>
      </w:pPr>
      <w:r w:rsidRPr="005E4D0A">
        <w:rPr>
          <w:rFonts w:cs="Arial"/>
        </w:rPr>
        <w:t>DPH – po 2. vlně (celková částka)</w:t>
      </w:r>
    </w:p>
    <w:p w:rsidR="00BB488C" w:rsidRPr="005E4D0A" w:rsidRDefault="00BB488C" w:rsidP="00BB488C">
      <w:pPr>
        <w:pStyle w:val="Odstavecseseznamem"/>
        <w:numPr>
          <w:ilvl w:val="0"/>
          <w:numId w:val="3"/>
        </w:numPr>
        <w:spacing w:after="100" w:afterAutospacing="1"/>
        <w:rPr>
          <w:rFonts w:cs="Arial"/>
        </w:rPr>
      </w:pPr>
      <w:r w:rsidRPr="005E4D0A">
        <w:rPr>
          <w:rFonts w:cs="Arial"/>
        </w:rPr>
        <w:t>Daň z příjmů (DPFO, DPPO) – (vyčíslení) poslední rok před zavedením EET</w:t>
      </w:r>
    </w:p>
    <w:p w:rsidR="00BB488C" w:rsidRPr="005E4D0A" w:rsidRDefault="00BB488C" w:rsidP="00BB488C">
      <w:pPr>
        <w:pStyle w:val="Odstavecseseznamem"/>
        <w:numPr>
          <w:ilvl w:val="0"/>
          <w:numId w:val="3"/>
        </w:numPr>
        <w:spacing w:after="100" w:afterAutospacing="1"/>
        <w:rPr>
          <w:rFonts w:cs="Arial"/>
        </w:rPr>
      </w:pPr>
      <w:r w:rsidRPr="005E4D0A">
        <w:rPr>
          <w:rFonts w:cs="Arial"/>
        </w:rPr>
        <w:t>DPH – (vyčíslení) poslední rok před zavedením EET</w:t>
      </w:r>
    </w:p>
    <w:p w:rsidR="00BB488C" w:rsidRPr="005E4D0A" w:rsidRDefault="00BB488C" w:rsidP="00BB488C">
      <w:pPr>
        <w:pStyle w:val="Odstavecseseznamem"/>
        <w:numPr>
          <w:ilvl w:val="0"/>
          <w:numId w:val="3"/>
        </w:numPr>
        <w:spacing w:after="100" w:afterAutospacing="1"/>
        <w:rPr>
          <w:rFonts w:cs="Arial"/>
        </w:rPr>
      </w:pPr>
      <w:r w:rsidRPr="005E4D0A">
        <w:rPr>
          <w:rFonts w:cs="Arial"/>
        </w:rPr>
        <w:t xml:space="preserve">Celkový příjem vybraný na pokutách podle </w:t>
      </w:r>
      <w:proofErr w:type="spellStart"/>
      <w:r w:rsidRPr="005E4D0A">
        <w:rPr>
          <w:rFonts w:cs="Arial"/>
        </w:rPr>
        <w:t>ZoET</w:t>
      </w:r>
      <w:proofErr w:type="spellEnd"/>
    </w:p>
    <w:p w:rsidR="00BB488C" w:rsidRPr="005E4D0A" w:rsidRDefault="00BB488C" w:rsidP="00BB488C">
      <w:pPr>
        <w:rPr>
          <w:rFonts w:ascii="Arial" w:hAnsi="Arial" w:cs="Arial"/>
        </w:rPr>
      </w:pPr>
      <w:r w:rsidRPr="005E4D0A">
        <w:rPr>
          <w:rFonts w:ascii="Arial" w:hAnsi="Arial" w:cs="Arial"/>
        </w:rPr>
        <w:t>Informace o výši příjmů v průběhu jednotlivých měsíců a let naleznete na adrese:</w:t>
      </w:r>
    </w:p>
    <w:p w:rsidR="00BB488C" w:rsidRPr="005E4D0A" w:rsidRDefault="00BB488C" w:rsidP="00BB488C">
      <w:pPr>
        <w:rPr>
          <w:rStyle w:val="Hypertextovodkaz"/>
          <w:rFonts w:ascii="Arial" w:hAnsi="Arial" w:cs="Arial"/>
        </w:rPr>
      </w:pPr>
      <w:hyperlink r:id="rId7" w:history="1">
        <w:r w:rsidRPr="005E4D0A">
          <w:rPr>
            <w:rStyle w:val="Hypertextovodkaz"/>
            <w:rFonts w:ascii="Arial" w:hAnsi="Arial" w:cs="Arial"/>
          </w:rPr>
          <w:t>http://www.financnisprava.cz/cs/dane/kraje-a-obce/danove-prijmy-kraju-a-obci/prubeh-celostatniho-inkasa-sdilenych-dani-3735</w:t>
        </w:r>
      </w:hyperlink>
      <w:r w:rsidRPr="005E4D0A">
        <w:rPr>
          <w:rStyle w:val="Hypertextovodkaz"/>
          <w:rFonts w:ascii="Arial" w:hAnsi="Arial" w:cs="Arial"/>
        </w:rPr>
        <w:t xml:space="preserve">. </w:t>
      </w:r>
    </w:p>
    <w:p w:rsidR="00BB488C" w:rsidRPr="005E4D0A" w:rsidRDefault="00BB488C" w:rsidP="00BB488C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 w:rsidRPr="005E4D0A">
        <w:rPr>
          <w:rFonts w:ascii="Arial" w:hAnsi="Arial" w:cs="Arial"/>
          <w:szCs w:val="22"/>
        </w:rPr>
        <w:t>V příloze naleznete informace o inkasu za pokuty a s nimi spojené náklady řízení uložené podle zákona o evidenci tržeb v roce 2017 a za první 4 měsíce roku 2018.</w:t>
      </w:r>
    </w:p>
    <w:p w:rsidR="00BB488C" w:rsidRPr="005E4D0A" w:rsidRDefault="00BB488C" w:rsidP="00BB488C">
      <w:pPr>
        <w:spacing w:after="100" w:afterAutospacing="1"/>
        <w:rPr>
          <w:rFonts w:ascii="Arial" w:hAnsi="Arial" w:cs="Arial"/>
          <w:b/>
          <w:bCs/>
        </w:rPr>
      </w:pPr>
      <w:r w:rsidRPr="005E4D0A">
        <w:rPr>
          <w:rFonts w:ascii="Arial" w:hAnsi="Arial" w:cs="Arial"/>
          <w:b/>
          <w:bCs/>
        </w:rPr>
        <w:t>Výdaje (náklady):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Náklady spojené se zavedením EET k 1. 12. 2018</w:t>
      </w:r>
    </w:p>
    <w:p w:rsidR="00BB488C" w:rsidRPr="005E4D0A" w:rsidRDefault="00BB488C" w:rsidP="00BB488C">
      <w:pPr>
        <w:pStyle w:val="Odstavecseseznamem"/>
        <w:numPr>
          <w:ilvl w:val="0"/>
          <w:numId w:val="2"/>
        </w:numPr>
        <w:spacing w:after="100" w:afterAutospacing="1"/>
        <w:rPr>
          <w:rFonts w:cs="Arial"/>
        </w:rPr>
      </w:pPr>
      <w:r w:rsidRPr="005E4D0A">
        <w:rPr>
          <w:rFonts w:cs="Arial"/>
        </w:rPr>
        <w:t xml:space="preserve">náklady na proškolení zaměstnanců </w:t>
      </w:r>
    </w:p>
    <w:p w:rsidR="00BB488C" w:rsidRPr="005E4D0A" w:rsidRDefault="00BB488C" w:rsidP="00BB488C">
      <w:pPr>
        <w:pStyle w:val="Odstavecseseznamem"/>
        <w:numPr>
          <w:ilvl w:val="0"/>
          <w:numId w:val="2"/>
        </w:numPr>
        <w:spacing w:after="100" w:afterAutospacing="1"/>
        <w:rPr>
          <w:rFonts w:cs="Arial"/>
        </w:rPr>
      </w:pPr>
      <w:r w:rsidRPr="005E4D0A">
        <w:rPr>
          <w:rFonts w:cs="Arial"/>
        </w:rPr>
        <w:t>náklady na meetingy k p</w:t>
      </w:r>
    </w:p>
    <w:p w:rsidR="00BB488C" w:rsidRPr="005E4D0A" w:rsidRDefault="00BB488C" w:rsidP="00BB488C">
      <w:pPr>
        <w:pStyle w:val="Odstavecseseznamem"/>
        <w:numPr>
          <w:ilvl w:val="0"/>
          <w:numId w:val="2"/>
        </w:numPr>
        <w:spacing w:after="100" w:afterAutospacing="1"/>
        <w:rPr>
          <w:rFonts w:cs="Arial"/>
        </w:rPr>
      </w:pPr>
      <w:r w:rsidRPr="005E4D0A">
        <w:rPr>
          <w:rFonts w:cs="Arial"/>
        </w:rPr>
        <w:t>představení EET poplatníkům</w:t>
      </w:r>
    </w:p>
    <w:p w:rsidR="00BB488C" w:rsidRPr="005E4D0A" w:rsidRDefault="00BB488C" w:rsidP="00BB488C">
      <w:pPr>
        <w:pStyle w:val="Odstavecseseznamem"/>
        <w:numPr>
          <w:ilvl w:val="0"/>
          <w:numId w:val="2"/>
        </w:numPr>
        <w:spacing w:after="100" w:afterAutospacing="1"/>
        <w:rPr>
          <w:rFonts w:cs="Arial"/>
        </w:rPr>
      </w:pPr>
      <w:r w:rsidRPr="005E4D0A">
        <w:rPr>
          <w:rFonts w:cs="Arial"/>
        </w:rPr>
        <w:t>náklady na proškolení veřejnosti zaměstnanci finanční správy</w:t>
      </w:r>
    </w:p>
    <w:p w:rsidR="00BB488C" w:rsidRPr="005E4D0A" w:rsidRDefault="00BB488C" w:rsidP="00BB488C">
      <w:pPr>
        <w:pStyle w:val="Odstavecseseznamem"/>
        <w:numPr>
          <w:ilvl w:val="0"/>
          <w:numId w:val="2"/>
        </w:numPr>
        <w:spacing w:after="100" w:afterAutospacing="1"/>
        <w:rPr>
          <w:rFonts w:cs="Arial"/>
        </w:rPr>
      </w:pPr>
      <w:r w:rsidRPr="005E4D0A">
        <w:rPr>
          <w:rFonts w:cs="Arial"/>
        </w:rPr>
        <w:t>náklady na mzdy zaměstnanců pro celou oblast EET (od 1. 12. 2016) – navýšení mzdových nákladů finanční a (celní správy) – pouze působnost v oblasti EET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</w:rPr>
      </w:pPr>
      <w:r w:rsidRPr="005E4D0A">
        <w:rPr>
          <w:rFonts w:ascii="Arial" w:hAnsi="Arial" w:cs="Arial"/>
        </w:rPr>
        <w:t>Náklady na mzdy zaměstnanců Finanční správy zabývajících se EET byly v prosinci 2016 ve výši 11 135 209 Kč bez příslušenství (sociální a zdravotní pojištění) a FKSP.</w:t>
      </w:r>
    </w:p>
    <w:p w:rsidR="00BB488C" w:rsidRPr="005E4D0A" w:rsidRDefault="00BB488C" w:rsidP="00BB488C">
      <w:pPr>
        <w:pStyle w:val="Odstavecseseznamem"/>
        <w:numPr>
          <w:ilvl w:val="0"/>
          <w:numId w:val="2"/>
        </w:numPr>
        <w:spacing w:after="100" w:afterAutospacing="1"/>
        <w:rPr>
          <w:rFonts w:cs="Arial"/>
        </w:rPr>
      </w:pPr>
      <w:r w:rsidRPr="005E4D0A">
        <w:rPr>
          <w:rFonts w:cs="Arial"/>
        </w:rPr>
        <w:t>náklady na mzdy zaměstnanců finanční správy a (celní správy) před zavedením EET – za poslední rok před zavedením EET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</w:rPr>
      </w:pPr>
      <w:r w:rsidRPr="005E4D0A">
        <w:rPr>
          <w:rFonts w:ascii="Arial" w:hAnsi="Arial" w:cs="Arial"/>
        </w:rPr>
        <w:lastRenderedPageBreak/>
        <w:t xml:space="preserve">Náklady na mzdy zaměstnanců Finanční správy byly v roce 2015 ve výši 434 278 535 Kč měsíčně bez příslušenství (sociální a zdravotní pojištění) a FKSP. </w:t>
      </w:r>
    </w:p>
    <w:p w:rsidR="00BB488C" w:rsidRPr="005E4D0A" w:rsidRDefault="00BB488C" w:rsidP="00BB488C">
      <w:pPr>
        <w:pStyle w:val="Odstavecseseznamem"/>
        <w:numPr>
          <w:ilvl w:val="0"/>
          <w:numId w:val="2"/>
        </w:numPr>
        <w:spacing w:after="100" w:afterAutospacing="1"/>
        <w:rPr>
          <w:rFonts w:cs="Arial"/>
        </w:rPr>
      </w:pPr>
      <w:r w:rsidRPr="005E4D0A">
        <w:rPr>
          <w:rFonts w:cs="Arial"/>
        </w:rPr>
        <w:t>náklady na vybudování IT systému + správa + provoz (HW, SW)</w:t>
      </w:r>
    </w:p>
    <w:p w:rsidR="00BB488C" w:rsidRPr="005E4D0A" w:rsidRDefault="00BB488C" w:rsidP="00BB488C">
      <w:pPr>
        <w:pStyle w:val="Odstavecseseznamem"/>
        <w:numPr>
          <w:ilvl w:val="0"/>
          <w:numId w:val="2"/>
        </w:numPr>
        <w:spacing w:after="100" w:afterAutospacing="1"/>
        <w:rPr>
          <w:rFonts w:cs="Arial"/>
        </w:rPr>
      </w:pPr>
      <w:r w:rsidRPr="005E4D0A">
        <w:rPr>
          <w:rFonts w:cs="Arial"/>
        </w:rPr>
        <w:t>náklady na zřízení datového úložiště</w:t>
      </w:r>
    </w:p>
    <w:p w:rsidR="00BB488C" w:rsidRPr="005E4D0A" w:rsidRDefault="00BB488C" w:rsidP="00BB488C">
      <w:pPr>
        <w:spacing w:after="100" w:afterAutospacing="1"/>
        <w:jc w:val="both"/>
        <w:rPr>
          <w:rStyle w:val="Hypertextovodkaz"/>
          <w:rFonts w:ascii="Arial" w:hAnsi="Arial" w:cs="Arial"/>
        </w:rPr>
      </w:pPr>
      <w:r w:rsidRPr="005E4D0A">
        <w:rPr>
          <w:rFonts w:ascii="Arial" w:hAnsi="Arial" w:cs="Arial"/>
        </w:rPr>
        <w:t xml:space="preserve">Informace o nákladech elektronické evidence tržeb naleznete v přiložené tabulce a také na odkazu: </w:t>
      </w:r>
      <w:hyperlink r:id="rId8" w:history="1">
        <w:r w:rsidRPr="005E4D0A">
          <w:rPr>
            <w:rStyle w:val="Hypertextovodkaz"/>
            <w:rFonts w:ascii="Arial" w:hAnsi="Arial" w:cs="Arial"/>
          </w:rPr>
          <w:t>http://www.etrzby.cz/assets/cs/prilohy/Naklady_EET.pdf</w:t>
        </w:r>
      </w:hyperlink>
      <w:r w:rsidRPr="005E4D0A">
        <w:rPr>
          <w:rStyle w:val="Hypertextovodkaz"/>
          <w:rFonts w:ascii="Arial" w:hAnsi="Arial" w:cs="Arial"/>
        </w:rPr>
        <w:t xml:space="preserve">. </w:t>
      </w:r>
    </w:p>
    <w:p w:rsidR="00BB488C" w:rsidRPr="005E4D0A" w:rsidRDefault="00BB488C" w:rsidP="00BB488C">
      <w:pPr>
        <w:spacing w:after="100" w:afterAutospacing="1"/>
        <w:rPr>
          <w:rFonts w:ascii="Arial" w:hAnsi="Arial" w:cs="Arial"/>
          <w:b/>
          <w:bCs/>
        </w:rPr>
      </w:pPr>
      <w:r w:rsidRPr="005E4D0A">
        <w:rPr>
          <w:rFonts w:ascii="Arial" w:hAnsi="Arial" w:cs="Arial"/>
          <w:b/>
          <w:bCs/>
        </w:rPr>
        <w:t>Ostatní informace: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zaměstnanců finanční správy a (celní správy) před zavedením EET – za poslední rok před zavedením EET</w:t>
      </w:r>
    </w:p>
    <w:p w:rsidR="00BB488C" w:rsidRPr="005E4D0A" w:rsidRDefault="00BB488C" w:rsidP="00BB488C">
      <w:pPr>
        <w:spacing w:after="100" w:afterAutospacing="1"/>
        <w:rPr>
          <w:rFonts w:ascii="Arial" w:hAnsi="Arial" w:cs="Arial"/>
        </w:rPr>
      </w:pPr>
      <w:r w:rsidRPr="005E4D0A">
        <w:rPr>
          <w:rFonts w:ascii="Arial" w:hAnsi="Arial" w:cs="Arial"/>
        </w:rPr>
        <w:t>Ve Finanční správě bylo v roce 2015 15 766 systemizovaných míst.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 xml:space="preserve">počet zaměstnanců finanční a celní správy – pouze působnost v oblasti EET 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</w:rPr>
      </w:pPr>
      <w:r w:rsidRPr="005E4D0A">
        <w:rPr>
          <w:rFonts w:ascii="Arial" w:hAnsi="Arial" w:cs="Arial"/>
        </w:rPr>
        <w:t>Počet systemizovaných míst byl v roce 2016 ve Finanční správě navýšen o 354 míst na oblast EET.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poplatníků daně z příjmů (DPFO, DPPO) – poslední rok před zavedením EET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 xml:space="preserve">počet poplatníků DPH – poslední rok před zavedením EET 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poplatníků daně z příjmů (DPFO, DPPO) – po zavedení EET (zaevidovaných k EET) – 1. vlna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poplatníků daně z příjmů (DPFO, DPPO) – po zavedení EET (zaevidovaných k EET) – 2. vlna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 xml:space="preserve">počet poplatníků DPH – poslední rok před zavedením EET 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poplatníků DPH – po zavedení EET (zaevidovaných k EET) – 1. vlna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poplatníků DPH – po zavedení EET (zaevidovaných k EET) – 2. vlna</w:t>
      </w:r>
    </w:p>
    <w:p w:rsidR="00BB488C" w:rsidRPr="005E4D0A" w:rsidRDefault="00BB488C" w:rsidP="00BB488C">
      <w:pPr>
        <w:spacing w:after="100" w:afterAutospacing="1"/>
        <w:rPr>
          <w:rFonts w:ascii="Arial" w:hAnsi="Arial" w:cs="Arial"/>
          <w:color w:val="1F497D"/>
        </w:rPr>
      </w:pPr>
      <w:r w:rsidRPr="005E4D0A">
        <w:rPr>
          <w:rFonts w:ascii="Arial" w:hAnsi="Arial" w:cs="Arial"/>
        </w:rPr>
        <w:t xml:space="preserve">Informace o počtu subjektů v členění podle jednotlivých daní najdete na adrese: </w:t>
      </w:r>
      <w:hyperlink r:id="rId9" w:history="1">
        <w:r w:rsidRPr="005E4D0A">
          <w:rPr>
            <w:rStyle w:val="Hypertextovodkaz"/>
            <w:rFonts w:ascii="Arial" w:hAnsi="Arial" w:cs="Arial"/>
          </w:rPr>
          <w:t>http://www.financnisprava.cz/cs/dane/analyzy-a-statistiky/udaje-z-registru-danovych-subjektu</w:t>
        </w:r>
      </w:hyperlink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uskutečněných kontrol finanční a (celní) správou bez nálezu (v souvislosti se zavedením EET)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uskutečněných kontrol finanční a (celní) správou s nálezem (v souvislosti se zavedením EET)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  <w:color w:val="000000"/>
        </w:rPr>
      </w:pPr>
      <w:r w:rsidRPr="005E4D0A">
        <w:rPr>
          <w:rFonts w:ascii="Arial" w:hAnsi="Arial" w:cs="Arial"/>
        </w:rPr>
        <w:t>Řádné a včasné plnění povinností při evidenci tržeb u subjektů spadajících do první a druhé fáze evidence tržeb bylo v roce 2017 prověřováno jak</w:t>
      </w:r>
      <w:r w:rsidRPr="005E4D0A">
        <w:rPr>
          <w:rFonts w:ascii="Arial" w:hAnsi="Arial" w:cs="Arial"/>
          <w:color w:val="000000"/>
        </w:rPr>
        <w:t xml:space="preserve"> orgány Finanční správy ČR, tak orgány Celní správy ČR, a to v rámci vyhledávací činnosti podle § 78 a násl. daňového řádu. 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  <w:color w:val="000000"/>
        </w:rPr>
      </w:pPr>
      <w:r w:rsidRPr="005E4D0A">
        <w:rPr>
          <w:rFonts w:ascii="Arial" w:hAnsi="Arial" w:cs="Arial"/>
          <w:color w:val="000000"/>
        </w:rPr>
        <w:t>K 31. 12. 2017 bylo Finanční správou ČR provedeno 72 892 kontrol. V 7 583 případech nedošlo k prověřování plnění povinností dle zákona o evidenci tržeb (např. z důvodu, že byla provozovna uzavřena). Z 65 309 kontrol, v jejichž rámci bylo zjišťováno dodržování povinností uložených zákonem o evidenci tržeb, bylo zjištěno pochybení v 14 368 případech (tj. ve 22 %).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  <w:i/>
          <w:color w:val="000000"/>
          <w:u w:val="single"/>
        </w:rPr>
      </w:pPr>
      <w:r w:rsidRPr="005E4D0A">
        <w:rPr>
          <w:rFonts w:ascii="Arial" w:hAnsi="Arial" w:cs="Arial"/>
          <w:i/>
          <w:color w:val="000000"/>
          <w:u w:val="single"/>
        </w:rPr>
        <w:lastRenderedPageBreak/>
        <w:t xml:space="preserve">Údaje od 1. 12. 2016 do 10. 5. 2018 (FS + CS): </w:t>
      </w:r>
    </w:p>
    <w:p w:rsidR="00BB488C" w:rsidRPr="005E4D0A" w:rsidRDefault="00BB488C" w:rsidP="00BB488C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="Arial"/>
          <w:i/>
          <w:color w:val="000000"/>
        </w:rPr>
      </w:pPr>
      <w:r w:rsidRPr="005E4D0A">
        <w:rPr>
          <w:rFonts w:cs="Arial"/>
          <w:i/>
          <w:color w:val="000000"/>
        </w:rPr>
        <w:t>počet kontrol bez nálezu: 75 110</w:t>
      </w:r>
    </w:p>
    <w:p w:rsidR="00BB488C" w:rsidRPr="005E4D0A" w:rsidRDefault="00BB488C" w:rsidP="00BB488C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="Arial"/>
          <w:i/>
          <w:color w:val="000000"/>
        </w:rPr>
      </w:pPr>
      <w:r w:rsidRPr="005E4D0A">
        <w:rPr>
          <w:rFonts w:cs="Arial"/>
          <w:i/>
          <w:color w:val="000000"/>
        </w:rPr>
        <w:t>počet kontrol se zjištěním: 25 238</w:t>
      </w:r>
    </w:p>
    <w:p w:rsidR="00BB488C" w:rsidRPr="005E4D0A" w:rsidRDefault="00BB488C" w:rsidP="00BB488C">
      <w:pPr>
        <w:pStyle w:val="Odstavecseseznamem"/>
        <w:spacing w:after="100" w:afterAutospacing="1"/>
        <w:jc w:val="both"/>
        <w:rPr>
          <w:rFonts w:cs="Arial"/>
          <w:i/>
          <w:color w:val="000000"/>
        </w:rPr>
      </w:pP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 xml:space="preserve">počet uskutečněných telefonních hovorů na Infolinku k EET 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  <w:color w:val="000000"/>
        </w:rPr>
      </w:pPr>
      <w:r w:rsidRPr="005E4D0A">
        <w:rPr>
          <w:rFonts w:ascii="Arial" w:hAnsi="Arial" w:cs="Arial"/>
          <w:color w:val="000000"/>
        </w:rPr>
        <w:t xml:space="preserve">V rámci podpory informovanosti o elektronické evidenci tržeb byla v srpnu 2016 zřízena speciální infolinka FS. Zatímco za druhé pololetí roku 2016 přes ni bylo vyřízeno celkem 27 156 hovorů, za rok 2017 je evidováno 84 388 hovorů. 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počet zaměstnanců obsluhujících Infolinku EET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  <w:color w:val="000000"/>
        </w:rPr>
      </w:pPr>
      <w:r w:rsidRPr="005E4D0A">
        <w:rPr>
          <w:rFonts w:ascii="Arial" w:hAnsi="Arial" w:cs="Arial"/>
          <w:color w:val="000000"/>
        </w:rPr>
        <w:t xml:space="preserve">Na Infolince EET zodpovídají dotazy pracovníci Finanční správy, kteří se na linkách střídají, tedy nikoliv operátoři pracující na plný úvazek; když nemají službu na infolince, tak se věnují své běžné agendě. Díky tomu je zaručena mnohem vyšší kvalita odpovědí, než kdyby šlo o operátory „běžného“ call centra. Pro úplnost dodáváme, že Infolinka EET, která byla spuštěna 1. 8. 2016, je k dispozici v pracovních dnech od 9:00 do 17:00 hodin. 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r w:rsidRPr="005E4D0A">
        <w:rPr>
          <w:rFonts w:cs="Arial"/>
        </w:rPr>
        <w:t>správní řízení k EET  – počet pravomocných (ukončených) řízení</w:t>
      </w:r>
    </w:p>
    <w:p w:rsidR="00BB488C" w:rsidRPr="005E4D0A" w:rsidRDefault="00BB488C" w:rsidP="00BB488C">
      <w:pPr>
        <w:spacing w:after="100" w:afterAutospacing="1"/>
        <w:jc w:val="both"/>
        <w:rPr>
          <w:rFonts w:ascii="Arial" w:hAnsi="Arial" w:cs="Arial"/>
        </w:rPr>
      </w:pPr>
      <w:r w:rsidRPr="005E4D0A">
        <w:rPr>
          <w:rFonts w:ascii="Arial" w:hAnsi="Arial" w:cs="Arial"/>
          <w:color w:val="000000"/>
        </w:rPr>
        <w:t>K 31. 12. 2017 bylo vydáno 1 575 příkazů na místě, 1 951 příkazů a 643 rozhodnutí o pokutě. Předepsané pokuty činily celkem 32 078 000 Kč. Nejvyšší udělená pokuta byla ve výši 260 000 Kč.</w:t>
      </w:r>
    </w:p>
    <w:p w:rsidR="00BB488C" w:rsidRPr="005E4D0A" w:rsidRDefault="00BB488C" w:rsidP="00BB488C">
      <w:pPr>
        <w:jc w:val="both"/>
        <w:rPr>
          <w:rFonts w:ascii="Arial" w:hAnsi="Arial" w:cs="Arial"/>
          <w:i/>
          <w:u w:val="single"/>
        </w:rPr>
      </w:pPr>
      <w:r w:rsidRPr="005E4D0A">
        <w:rPr>
          <w:rFonts w:ascii="Arial" w:hAnsi="Arial" w:cs="Arial"/>
          <w:i/>
          <w:u w:val="single"/>
        </w:rPr>
        <w:t xml:space="preserve">Údaje od 1. 12. 2016 do 10. 5. 2018 (pouze FS): </w:t>
      </w: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="Arial"/>
          <w:i/>
        </w:rPr>
      </w:pPr>
      <w:r w:rsidRPr="005E4D0A">
        <w:rPr>
          <w:rFonts w:cs="Arial"/>
          <w:i/>
        </w:rPr>
        <w:t>bylo vydáno 2 405 příkazů na místě, 2 439 příkazů a 755 rozhodnutí o pokutě</w:t>
      </w:r>
    </w:p>
    <w:p w:rsidR="00BB488C" w:rsidRPr="005E4D0A" w:rsidRDefault="00BB488C" w:rsidP="00BB488C">
      <w:pPr>
        <w:pStyle w:val="Odstavecseseznamem"/>
        <w:spacing w:after="100" w:afterAutospacing="1"/>
        <w:rPr>
          <w:rFonts w:cs="Arial"/>
          <w:i/>
        </w:rPr>
      </w:pPr>
    </w:p>
    <w:p w:rsidR="00BB488C" w:rsidRPr="005E4D0A" w:rsidRDefault="00BB488C" w:rsidP="00BB488C">
      <w:pPr>
        <w:pStyle w:val="Odstavecseseznamem"/>
        <w:numPr>
          <w:ilvl w:val="0"/>
          <w:numId w:val="1"/>
        </w:numPr>
        <w:spacing w:after="100" w:afterAutospacing="1"/>
        <w:rPr>
          <w:rFonts w:cs="Arial"/>
        </w:rPr>
      </w:pPr>
      <w:proofErr w:type="spellStart"/>
      <w:r w:rsidRPr="005E4D0A">
        <w:rPr>
          <w:rFonts w:cs="Arial"/>
        </w:rPr>
        <w:t>Účtenkovka</w:t>
      </w:r>
      <w:proofErr w:type="spellEnd"/>
      <w:r w:rsidRPr="005E4D0A">
        <w:rPr>
          <w:rFonts w:cs="Arial"/>
        </w:rPr>
        <w:t xml:space="preserve">  - kdo financoval  a financuje celý systém – prosím o informaci </w:t>
      </w:r>
    </w:p>
    <w:p w:rsidR="00BB488C" w:rsidRPr="005E4D0A" w:rsidRDefault="00BB488C" w:rsidP="00BB488C">
      <w:pPr>
        <w:spacing w:after="100" w:afterAutospacing="1"/>
        <w:rPr>
          <w:rFonts w:ascii="Arial" w:hAnsi="Arial" w:cs="Arial"/>
        </w:rPr>
      </w:pPr>
      <w:proofErr w:type="spellStart"/>
      <w:r w:rsidRPr="005E4D0A">
        <w:rPr>
          <w:rFonts w:ascii="Arial" w:hAnsi="Arial" w:cs="Arial"/>
        </w:rPr>
        <w:t>Účtenkovku</w:t>
      </w:r>
      <w:proofErr w:type="spellEnd"/>
      <w:r w:rsidRPr="005E4D0A">
        <w:rPr>
          <w:rFonts w:ascii="Arial" w:hAnsi="Arial" w:cs="Arial"/>
        </w:rPr>
        <w:t xml:space="preserve"> provozuje Ministerstvo financí, zde se prosím, obraťte přímo na MF. </w:t>
      </w:r>
    </w:p>
    <w:p w:rsidR="00BB488C" w:rsidRPr="00B81927" w:rsidRDefault="00BB488C" w:rsidP="00BB488C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:rsidR="0045672E" w:rsidRDefault="00BB488C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6F0"/>
    <w:multiLevelType w:val="hybridMultilevel"/>
    <w:tmpl w:val="B630D990"/>
    <w:lvl w:ilvl="0" w:tplc="346EE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48F1"/>
    <w:multiLevelType w:val="hybridMultilevel"/>
    <w:tmpl w:val="F51496E2"/>
    <w:lvl w:ilvl="0" w:tplc="346EE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2FE"/>
    <w:multiLevelType w:val="hybridMultilevel"/>
    <w:tmpl w:val="3008F882"/>
    <w:lvl w:ilvl="0" w:tplc="C378709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12DE3"/>
    <w:multiLevelType w:val="hybridMultilevel"/>
    <w:tmpl w:val="7222EEE6"/>
    <w:lvl w:ilvl="0" w:tplc="A6CC53F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8C"/>
    <w:rsid w:val="003428A3"/>
    <w:rsid w:val="00930D15"/>
    <w:rsid w:val="00BB488C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8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48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488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B488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B488C"/>
    <w:rPr>
      <w:rFonts w:ascii="Calibri" w:hAnsi="Calibri"/>
      <w:szCs w:val="21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B488C"/>
    <w:pPr>
      <w:ind w:left="720"/>
      <w:contextualSpacing/>
    </w:pPr>
    <w:rPr>
      <w:rFonts w:ascii="Arial" w:eastAsia="Times New Roman" w:hAnsi="Arial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B488C"/>
    <w:rPr>
      <w:rFonts w:ascii="Arial" w:eastAsia="Times New Roman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BB4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8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48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488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B488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B488C"/>
    <w:rPr>
      <w:rFonts w:ascii="Calibri" w:hAnsi="Calibri"/>
      <w:szCs w:val="21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B488C"/>
    <w:pPr>
      <w:ind w:left="720"/>
      <w:contextualSpacing/>
    </w:pPr>
    <w:rPr>
      <w:rFonts w:ascii="Arial" w:eastAsia="Times New Roman" w:hAnsi="Arial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B488C"/>
    <w:rPr>
      <w:rFonts w:ascii="Arial" w:eastAsia="Times New Roman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BB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zby.cz/assets/cs/prilohy/Naklady_E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/cs/dane/kraje-a-obce/danove-prijmy-kraju-a-obci/prubeh-celostatniho-inkasa-sdilenych-dani-3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dane/analyzy-a-statistiky/udaje-z-registru-danovych-subjekt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5217</Characters>
  <Application>Microsoft Office Word</Application>
  <DocSecurity>0</DocSecurity>
  <Lines>43</Lines>
  <Paragraphs>12</Paragraphs>
  <ScaleCrop>false</ScaleCrop>
  <Company>Finanční správa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2018-05-15T09:48:00Z</dcterms:created>
  <dcterms:modified xsi:type="dcterms:W3CDTF">2018-05-15T09:51:00Z</dcterms:modified>
</cp:coreProperties>
</file>